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DA4" w:rsidRDefault="007E4AD8" w:rsidP="00AE6DA4">
      <w:pPr>
        <w:spacing w:after="0"/>
        <w:rPr>
          <w:rFonts w:asciiTheme="majorHAnsi" w:hAnsiTheme="majorHAnsi"/>
          <w:b/>
        </w:rPr>
      </w:pPr>
      <w:r>
        <w:rPr>
          <w:rFonts w:asciiTheme="majorHAnsi" w:hAnsiTheme="majorHAnsi"/>
          <w:b/>
          <w:noProof/>
        </w:rPr>
        <w:pict>
          <v:shapetype id="_x0000_t32" coordsize="21600,21600" o:spt="32" o:oned="t" path="m,l21600,21600e" filled="f">
            <v:path arrowok="t" fillok="f" o:connecttype="none"/>
            <o:lock v:ext="edit" shapetype="t"/>
          </v:shapetype>
          <v:shape id="_x0000_s1031" type="#_x0000_t32" style="position:absolute;margin-left:0;margin-top:14.2pt;width:7in;height:0;z-index:251673600" o:connectortype="straight" strokecolor="#938953 [1614]" strokeweight="1pt">
            <v:shadow type="perspective" color="#974706 [1609]" opacity=".5" offset="1pt" offset2="-1pt"/>
          </v:shape>
        </w:pict>
      </w:r>
      <w:r w:rsidR="00C24056">
        <w:rPr>
          <w:rFonts w:asciiTheme="majorHAnsi" w:hAnsiTheme="majorHAnsi"/>
          <w:b/>
        </w:rPr>
        <w:t>Background and Purpose</w:t>
      </w:r>
    </w:p>
    <w:p w:rsidR="00466688" w:rsidRDefault="00AE6DA4" w:rsidP="00905A1E">
      <w:pPr>
        <w:spacing w:after="120"/>
        <w:rPr>
          <w:rFonts w:ascii="Cambria" w:hAnsi="Cambria"/>
        </w:rPr>
      </w:pPr>
      <w:r w:rsidRPr="00AE6DA4">
        <w:rPr>
          <w:rFonts w:asciiTheme="majorHAnsi" w:hAnsiTheme="majorHAnsi"/>
        </w:rPr>
        <w:t xml:space="preserve">On </w:t>
      </w:r>
      <w:r w:rsidR="00466688">
        <w:rPr>
          <w:rFonts w:asciiTheme="majorHAnsi" w:hAnsiTheme="majorHAnsi"/>
        </w:rPr>
        <w:t>June</w:t>
      </w:r>
      <w:r>
        <w:rPr>
          <w:rFonts w:asciiTheme="majorHAnsi" w:hAnsiTheme="majorHAnsi"/>
        </w:rPr>
        <w:t xml:space="preserve"> </w:t>
      </w:r>
      <w:r w:rsidR="00466688">
        <w:rPr>
          <w:rFonts w:asciiTheme="majorHAnsi" w:hAnsiTheme="majorHAnsi"/>
        </w:rPr>
        <w:t>14</w:t>
      </w:r>
      <w:r>
        <w:rPr>
          <w:rFonts w:asciiTheme="majorHAnsi" w:hAnsiTheme="majorHAnsi"/>
        </w:rPr>
        <w:t>, 2013, Governor Rick Perry signed into law Senate Bil</w:t>
      </w:r>
      <w:bookmarkStart w:id="0" w:name="_GoBack"/>
      <w:bookmarkEnd w:id="0"/>
      <w:r>
        <w:rPr>
          <w:rFonts w:asciiTheme="majorHAnsi" w:hAnsiTheme="majorHAnsi"/>
        </w:rPr>
        <w:t xml:space="preserve">l 1702.  SB 1702 </w:t>
      </w:r>
      <w:r w:rsidR="00466688">
        <w:rPr>
          <w:rFonts w:ascii="Cambria" w:hAnsi="Cambria"/>
        </w:rPr>
        <w:t>permits residential structures that were built, remodeled, or repaired on or after June 19, 2009, which are not in compliance with applicable building code standards</w:t>
      </w:r>
      <w:r w:rsidR="004C7F05">
        <w:rPr>
          <w:rFonts w:ascii="Cambria" w:hAnsi="Cambria"/>
        </w:rPr>
        <w:t>,</w:t>
      </w:r>
      <w:r w:rsidR="00466688">
        <w:rPr>
          <w:rFonts w:ascii="Cambria" w:hAnsi="Cambria"/>
        </w:rPr>
        <w:t xml:space="preserve"> to be eligible for coverage</w:t>
      </w:r>
      <w:r w:rsidR="00295ADD">
        <w:rPr>
          <w:rFonts w:ascii="Cambria" w:hAnsi="Cambria"/>
        </w:rPr>
        <w:t xml:space="preserve"> through the Texas Windstorm Insurance Association</w:t>
      </w:r>
      <w:r w:rsidR="00466688">
        <w:rPr>
          <w:rFonts w:ascii="Cambria" w:hAnsi="Cambria"/>
        </w:rPr>
        <w:t xml:space="preserve"> </w:t>
      </w:r>
      <w:r w:rsidR="004A7E29" w:rsidRPr="004A7E29">
        <w:rPr>
          <w:rFonts w:ascii="Cambria" w:hAnsi="Cambria"/>
          <w:b/>
        </w:rPr>
        <w:t>if</w:t>
      </w:r>
      <w:r w:rsidR="00466688">
        <w:rPr>
          <w:rFonts w:ascii="Cambria" w:hAnsi="Cambria"/>
        </w:rPr>
        <w:t>:</w:t>
      </w:r>
    </w:p>
    <w:p w:rsidR="00466688" w:rsidRDefault="00466688" w:rsidP="00905A1E">
      <w:pPr>
        <w:pStyle w:val="ListParagraph"/>
        <w:numPr>
          <w:ilvl w:val="0"/>
          <w:numId w:val="1"/>
        </w:numPr>
        <w:spacing w:after="120"/>
        <w:contextualSpacing w:val="0"/>
        <w:rPr>
          <w:rFonts w:ascii="Cambria" w:hAnsi="Cambria"/>
        </w:rPr>
      </w:pPr>
      <w:r w:rsidRPr="00C90021">
        <w:rPr>
          <w:rFonts w:ascii="Cambria" w:hAnsi="Cambria"/>
        </w:rPr>
        <w:t>on or after June 1</w:t>
      </w:r>
      <w:r>
        <w:rPr>
          <w:rFonts w:ascii="Cambria" w:hAnsi="Cambria"/>
        </w:rPr>
        <w:t>9</w:t>
      </w:r>
      <w:r w:rsidRPr="00C90021">
        <w:rPr>
          <w:rFonts w:ascii="Cambria" w:hAnsi="Cambria"/>
        </w:rPr>
        <w:t xml:space="preserve">, 2009, the structure was insured by a private insurer that subsequently canceled or </w:t>
      </w:r>
      <w:proofErr w:type="spellStart"/>
      <w:r w:rsidRPr="00C90021">
        <w:rPr>
          <w:rFonts w:ascii="Cambria" w:hAnsi="Cambria"/>
        </w:rPr>
        <w:t>nonrenewed</w:t>
      </w:r>
      <w:proofErr w:type="spellEnd"/>
      <w:r w:rsidRPr="00C90021">
        <w:rPr>
          <w:rFonts w:ascii="Cambria" w:hAnsi="Cambria"/>
        </w:rPr>
        <w:t xml:space="preserve"> insurance coverage for the structure</w:t>
      </w:r>
      <w:r w:rsidR="00293D37">
        <w:rPr>
          <w:rFonts w:ascii="Cambria" w:hAnsi="Cambria"/>
        </w:rPr>
        <w:t>,</w:t>
      </w:r>
      <w:r>
        <w:rPr>
          <w:rFonts w:ascii="Cambria" w:hAnsi="Cambria"/>
        </w:rPr>
        <w:t xml:space="preserve"> </w:t>
      </w:r>
    </w:p>
    <w:p w:rsidR="00466688" w:rsidRDefault="00466688" w:rsidP="00905A1E">
      <w:pPr>
        <w:pStyle w:val="ListParagraph"/>
        <w:numPr>
          <w:ilvl w:val="0"/>
          <w:numId w:val="1"/>
        </w:numPr>
        <w:spacing w:after="120"/>
        <w:contextualSpacing w:val="0"/>
        <w:rPr>
          <w:rFonts w:ascii="Cambria" w:hAnsi="Cambria"/>
        </w:rPr>
      </w:pPr>
      <w:r>
        <w:rPr>
          <w:rFonts w:ascii="Cambria" w:hAnsi="Cambria"/>
        </w:rPr>
        <w:t>the applicant provides TWIA proof of private insurance coverage and proof of cancellation</w:t>
      </w:r>
      <w:r w:rsidR="004C7F05">
        <w:rPr>
          <w:rFonts w:ascii="Cambria" w:hAnsi="Cambria"/>
        </w:rPr>
        <w:t xml:space="preserve">, </w:t>
      </w:r>
      <w:r>
        <w:rPr>
          <w:rFonts w:ascii="Cambria" w:hAnsi="Cambria"/>
        </w:rPr>
        <w:t>and</w:t>
      </w:r>
    </w:p>
    <w:p w:rsidR="00466688" w:rsidRDefault="00466688" w:rsidP="00905A1E">
      <w:pPr>
        <w:pStyle w:val="ListParagraph"/>
        <w:numPr>
          <w:ilvl w:val="0"/>
          <w:numId w:val="1"/>
        </w:numPr>
        <w:spacing w:after="120"/>
        <w:rPr>
          <w:rFonts w:ascii="Cambria" w:hAnsi="Cambria"/>
        </w:rPr>
      </w:pPr>
      <w:proofErr w:type="gramStart"/>
      <w:r>
        <w:rPr>
          <w:rFonts w:ascii="Cambria" w:hAnsi="Cambria"/>
        </w:rPr>
        <w:t>the</w:t>
      </w:r>
      <w:proofErr w:type="gramEnd"/>
      <w:r>
        <w:rPr>
          <w:rFonts w:ascii="Cambria" w:hAnsi="Cambria"/>
        </w:rPr>
        <w:t xml:space="preserve"> structure has not been remodeled or repaired after the private insurer canceled or </w:t>
      </w:r>
      <w:proofErr w:type="spellStart"/>
      <w:r>
        <w:rPr>
          <w:rFonts w:ascii="Cambria" w:hAnsi="Cambria"/>
        </w:rPr>
        <w:t>nonrenewed</w:t>
      </w:r>
      <w:proofErr w:type="spellEnd"/>
      <w:r>
        <w:rPr>
          <w:rFonts w:ascii="Cambria" w:hAnsi="Cambria"/>
        </w:rPr>
        <w:t xml:space="preserve"> the coverage</w:t>
      </w:r>
      <w:r w:rsidR="00C24056">
        <w:rPr>
          <w:rFonts w:ascii="Cambria" w:hAnsi="Cambria"/>
        </w:rPr>
        <w:t>,</w:t>
      </w:r>
      <w:r>
        <w:rPr>
          <w:rFonts w:ascii="Cambria" w:hAnsi="Cambria"/>
        </w:rPr>
        <w:t xml:space="preserve"> but before the applicant submitted an application for TWIA coverage.</w:t>
      </w:r>
    </w:p>
    <w:p w:rsidR="00AE6DA4" w:rsidRPr="00AE6DA4" w:rsidRDefault="00466688" w:rsidP="00C45B12">
      <w:pPr>
        <w:spacing w:after="0"/>
        <w:rPr>
          <w:rFonts w:asciiTheme="majorHAnsi" w:hAnsiTheme="majorHAnsi"/>
        </w:rPr>
      </w:pPr>
      <w:r>
        <w:rPr>
          <w:rFonts w:ascii="Cambria" w:hAnsi="Cambria"/>
        </w:rPr>
        <w:t xml:space="preserve">For such risks, </w:t>
      </w:r>
      <w:r w:rsidR="00887502">
        <w:rPr>
          <w:rFonts w:ascii="Cambria" w:hAnsi="Cambria"/>
        </w:rPr>
        <w:t xml:space="preserve">SB 1702 </w:t>
      </w:r>
      <w:r>
        <w:rPr>
          <w:rFonts w:ascii="Cambria" w:hAnsi="Cambria"/>
        </w:rPr>
        <w:t xml:space="preserve">requires </w:t>
      </w:r>
      <w:r w:rsidRPr="00D53305">
        <w:rPr>
          <w:rFonts w:ascii="Cambria" w:hAnsi="Cambria"/>
        </w:rPr>
        <w:t xml:space="preserve">TWIA to charge a premium based on the rate charged in the voluntary market for the portion of the canceled or </w:t>
      </w:r>
      <w:proofErr w:type="spellStart"/>
      <w:r w:rsidRPr="00D53305">
        <w:rPr>
          <w:rFonts w:ascii="Cambria" w:hAnsi="Cambria"/>
        </w:rPr>
        <w:t>nonrenewed</w:t>
      </w:r>
      <w:proofErr w:type="spellEnd"/>
      <w:r w:rsidRPr="00D53305">
        <w:rPr>
          <w:rFonts w:ascii="Cambria" w:hAnsi="Cambria"/>
        </w:rPr>
        <w:t xml:space="preserve"> policy that provides windstorm and hail coverage for the applicable risk</w:t>
      </w:r>
      <w:r w:rsidR="00D53305" w:rsidRPr="00D53305">
        <w:rPr>
          <w:rFonts w:ascii="Cambria" w:hAnsi="Cambria"/>
        </w:rPr>
        <w:t>,</w:t>
      </w:r>
      <w:r w:rsidRPr="00D53305">
        <w:rPr>
          <w:rFonts w:ascii="Cambria" w:hAnsi="Cambria"/>
        </w:rPr>
        <w:t xml:space="preserve"> plus an annual</w:t>
      </w:r>
      <w:r>
        <w:rPr>
          <w:rFonts w:ascii="Cambria" w:hAnsi="Cambria"/>
        </w:rPr>
        <w:t xml:space="preserve"> premium surcharge of 10 percent.</w:t>
      </w:r>
    </w:p>
    <w:p w:rsidR="00AE6DA4" w:rsidRDefault="00AE6DA4" w:rsidP="00C45B12">
      <w:pPr>
        <w:spacing w:after="0"/>
        <w:rPr>
          <w:rFonts w:asciiTheme="majorHAnsi" w:hAnsiTheme="majorHAnsi"/>
          <w:b/>
        </w:rPr>
      </w:pPr>
    </w:p>
    <w:p w:rsidR="00D53305" w:rsidRDefault="008A2004" w:rsidP="00C45B12">
      <w:pPr>
        <w:spacing w:after="0"/>
        <w:rPr>
          <w:rFonts w:asciiTheme="majorHAnsi" w:hAnsiTheme="majorHAnsi"/>
        </w:rPr>
      </w:pPr>
      <w:r>
        <w:rPr>
          <w:rFonts w:asciiTheme="majorHAnsi" w:hAnsiTheme="majorHAnsi"/>
        </w:rPr>
        <w:t>In this data call, the</w:t>
      </w:r>
      <w:r w:rsidR="00905A1E">
        <w:rPr>
          <w:rFonts w:asciiTheme="majorHAnsi" w:hAnsiTheme="majorHAnsi"/>
        </w:rPr>
        <w:t xml:space="preserve"> Texas Department of Insurance </w:t>
      </w:r>
      <w:r w:rsidR="00C45B12">
        <w:rPr>
          <w:rFonts w:asciiTheme="majorHAnsi" w:hAnsiTheme="majorHAnsi"/>
        </w:rPr>
        <w:t>i</w:t>
      </w:r>
      <w:r w:rsidR="00905A1E">
        <w:rPr>
          <w:rFonts w:asciiTheme="majorHAnsi" w:hAnsiTheme="majorHAnsi"/>
        </w:rPr>
        <w:t xml:space="preserve">s requesting information about the amount of credit </w:t>
      </w:r>
      <w:r w:rsidR="00887502">
        <w:rPr>
          <w:rFonts w:asciiTheme="majorHAnsi" w:hAnsiTheme="majorHAnsi"/>
        </w:rPr>
        <w:t xml:space="preserve">that </w:t>
      </w:r>
      <w:r w:rsidR="00905A1E">
        <w:rPr>
          <w:rFonts w:asciiTheme="majorHAnsi" w:hAnsiTheme="majorHAnsi"/>
        </w:rPr>
        <w:t xml:space="preserve">voluntary </w:t>
      </w:r>
      <w:r w:rsidR="00C45B12">
        <w:rPr>
          <w:rFonts w:asciiTheme="majorHAnsi" w:hAnsiTheme="majorHAnsi"/>
        </w:rPr>
        <w:t xml:space="preserve">residential property </w:t>
      </w:r>
      <w:r w:rsidR="00905A1E">
        <w:rPr>
          <w:rFonts w:asciiTheme="majorHAnsi" w:hAnsiTheme="majorHAnsi"/>
        </w:rPr>
        <w:t>insurers provide for excluding windstorm and hail coverage in the catastrophe area</w:t>
      </w:r>
      <w:r w:rsidR="00887502">
        <w:rPr>
          <w:rFonts w:asciiTheme="majorHAnsi" w:hAnsiTheme="majorHAnsi"/>
        </w:rPr>
        <w:t>, as defined by the commissioner under Insurance Code §2210.005</w:t>
      </w:r>
      <w:r w:rsidR="00522A0F">
        <w:rPr>
          <w:rFonts w:asciiTheme="majorHAnsi" w:hAnsiTheme="majorHAnsi"/>
        </w:rPr>
        <w:t xml:space="preserve"> and outlined below</w:t>
      </w:r>
      <w:r w:rsidR="00905A1E">
        <w:rPr>
          <w:rFonts w:asciiTheme="majorHAnsi" w:hAnsiTheme="majorHAnsi"/>
        </w:rPr>
        <w:t xml:space="preserve">.  </w:t>
      </w:r>
      <w:r w:rsidR="00D53305">
        <w:rPr>
          <w:rFonts w:asciiTheme="majorHAnsi" w:hAnsiTheme="majorHAnsi"/>
        </w:rPr>
        <w:t>T</w:t>
      </w:r>
      <w:r w:rsidR="00905A1E">
        <w:rPr>
          <w:rFonts w:asciiTheme="majorHAnsi" w:hAnsiTheme="majorHAnsi"/>
        </w:rPr>
        <w:t>DI</w:t>
      </w:r>
      <w:r w:rsidR="001A5476">
        <w:rPr>
          <w:rFonts w:asciiTheme="majorHAnsi" w:hAnsiTheme="majorHAnsi"/>
        </w:rPr>
        <w:t xml:space="preserve"> will provide</w:t>
      </w:r>
      <w:r w:rsidR="00D53305">
        <w:rPr>
          <w:rFonts w:asciiTheme="majorHAnsi" w:hAnsiTheme="majorHAnsi"/>
        </w:rPr>
        <w:t xml:space="preserve"> the information gathered from this data call to </w:t>
      </w:r>
      <w:r w:rsidR="001A5476">
        <w:rPr>
          <w:rFonts w:asciiTheme="majorHAnsi" w:hAnsiTheme="majorHAnsi"/>
        </w:rPr>
        <w:t>TWIA.  TWIA will use this information</w:t>
      </w:r>
      <w:r w:rsidR="00D53305">
        <w:rPr>
          <w:rFonts w:asciiTheme="majorHAnsi" w:hAnsiTheme="majorHAnsi"/>
        </w:rPr>
        <w:t xml:space="preserve"> </w:t>
      </w:r>
      <w:r w:rsidR="001A5476">
        <w:rPr>
          <w:rFonts w:asciiTheme="majorHAnsi" w:hAnsiTheme="majorHAnsi"/>
        </w:rPr>
        <w:t>to</w:t>
      </w:r>
      <w:r w:rsidR="00D53305">
        <w:rPr>
          <w:rFonts w:asciiTheme="majorHAnsi" w:hAnsiTheme="majorHAnsi"/>
        </w:rPr>
        <w:t xml:space="preserve"> </w:t>
      </w:r>
      <w:r w:rsidR="001A5476">
        <w:rPr>
          <w:rFonts w:asciiTheme="majorHAnsi" w:hAnsiTheme="majorHAnsi"/>
        </w:rPr>
        <w:t xml:space="preserve">help </w:t>
      </w:r>
      <w:r w:rsidR="00D53305">
        <w:rPr>
          <w:rFonts w:asciiTheme="majorHAnsi" w:hAnsiTheme="majorHAnsi"/>
        </w:rPr>
        <w:t>determin</w:t>
      </w:r>
      <w:r w:rsidR="001A5476">
        <w:rPr>
          <w:rFonts w:asciiTheme="majorHAnsi" w:hAnsiTheme="majorHAnsi"/>
        </w:rPr>
        <w:t>e</w:t>
      </w:r>
      <w:r w:rsidR="00D53305">
        <w:rPr>
          <w:rFonts w:asciiTheme="majorHAnsi" w:hAnsiTheme="majorHAnsi"/>
        </w:rPr>
        <w:t xml:space="preserve"> the premium </w:t>
      </w:r>
      <w:r>
        <w:rPr>
          <w:rFonts w:asciiTheme="majorHAnsi" w:hAnsiTheme="majorHAnsi"/>
        </w:rPr>
        <w:t>applicable to residential structures</w:t>
      </w:r>
      <w:r w:rsidR="00D53305">
        <w:rPr>
          <w:rFonts w:asciiTheme="majorHAnsi" w:hAnsiTheme="majorHAnsi"/>
        </w:rPr>
        <w:t xml:space="preserve"> that qualify for coverage under this provision of </w:t>
      </w:r>
      <w:r>
        <w:rPr>
          <w:rFonts w:asciiTheme="majorHAnsi" w:hAnsiTheme="majorHAnsi"/>
        </w:rPr>
        <w:t>SB 1702</w:t>
      </w:r>
      <w:r w:rsidR="00D53305">
        <w:rPr>
          <w:rFonts w:asciiTheme="majorHAnsi" w:hAnsiTheme="majorHAnsi"/>
        </w:rPr>
        <w:t>.  TDI will also use the data in its continuing efforts to monitor the residential property market in the catastrophe area.</w:t>
      </w:r>
    </w:p>
    <w:p w:rsidR="00FA7826" w:rsidRDefault="00FA7826" w:rsidP="00AE6DA4">
      <w:pPr>
        <w:spacing w:after="0"/>
        <w:rPr>
          <w:rFonts w:asciiTheme="majorHAnsi" w:hAnsiTheme="majorHAnsi"/>
        </w:rPr>
      </w:pPr>
    </w:p>
    <w:p w:rsidR="00D53305" w:rsidRDefault="007E4AD8" w:rsidP="00AE6DA4">
      <w:pPr>
        <w:spacing w:after="0"/>
        <w:rPr>
          <w:rFonts w:asciiTheme="majorHAnsi" w:hAnsiTheme="majorHAnsi"/>
          <w:b/>
        </w:rPr>
      </w:pPr>
      <w:r>
        <w:rPr>
          <w:rFonts w:asciiTheme="majorHAnsi" w:hAnsiTheme="majorHAnsi"/>
          <w:b/>
          <w:noProof/>
        </w:rPr>
        <w:pict>
          <v:shape id="_x0000_s1032" type="#_x0000_t32" style="position:absolute;margin-left:0;margin-top:13.55pt;width:477.3pt;height:0;z-index:251675648" o:connectortype="straight" strokecolor="#938953 [1614]" strokeweight="1pt">
            <v:shadow type="perspective" color="#974706 [1609]" opacity=".5" offset="1pt" offset2="-1pt"/>
          </v:shape>
        </w:pict>
      </w:r>
      <w:r w:rsidR="00C24056">
        <w:rPr>
          <w:rFonts w:asciiTheme="majorHAnsi" w:hAnsiTheme="majorHAnsi"/>
          <w:b/>
          <w:noProof/>
        </w:rPr>
        <w:t>Companies</w:t>
      </w:r>
      <w:r w:rsidR="00C24056" w:rsidRPr="00D53305">
        <w:rPr>
          <w:rFonts w:asciiTheme="majorHAnsi" w:hAnsiTheme="majorHAnsi"/>
          <w:b/>
        </w:rPr>
        <w:t xml:space="preserve"> R</w:t>
      </w:r>
      <w:r w:rsidR="00C24056">
        <w:rPr>
          <w:rFonts w:asciiTheme="majorHAnsi" w:hAnsiTheme="majorHAnsi"/>
          <w:b/>
        </w:rPr>
        <w:t>equired</w:t>
      </w:r>
      <w:r w:rsidR="00C24056" w:rsidRPr="00D53305">
        <w:rPr>
          <w:rFonts w:asciiTheme="majorHAnsi" w:hAnsiTheme="majorHAnsi"/>
          <w:b/>
        </w:rPr>
        <w:t xml:space="preserve"> </w:t>
      </w:r>
      <w:r w:rsidR="00C24056">
        <w:rPr>
          <w:rFonts w:asciiTheme="majorHAnsi" w:hAnsiTheme="majorHAnsi"/>
          <w:b/>
        </w:rPr>
        <w:t>to</w:t>
      </w:r>
      <w:r w:rsidR="00C24056" w:rsidRPr="00D53305">
        <w:rPr>
          <w:rFonts w:asciiTheme="majorHAnsi" w:hAnsiTheme="majorHAnsi"/>
          <w:b/>
        </w:rPr>
        <w:t xml:space="preserve"> R</w:t>
      </w:r>
      <w:r w:rsidR="00C24056">
        <w:rPr>
          <w:rFonts w:asciiTheme="majorHAnsi" w:hAnsiTheme="majorHAnsi"/>
          <w:b/>
        </w:rPr>
        <w:t>eport</w:t>
      </w:r>
    </w:p>
    <w:p w:rsidR="00A03C1A" w:rsidRDefault="00C45B12" w:rsidP="00AE6DA4">
      <w:pPr>
        <w:spacing w:after="0"/>
        <w:rPr>
          <w:rFonts w:asciiTheme="majorHAnsi" w:hAnsiTheme="majorHAnsi"/>
        </w:rPr>
      </w:pPr>
      <w:r>
        <w:rPr>
          <w:rFonts w:asciiTheme="majorHAnsi" w:hAnsiTheme="majorHAnsi"/>
        </w:rPr>
        <w:t xml:space="preserve">This data call applies to all </w:t>
      </w:r>
      <w:r w:rsidR="00A03C1A">
        <w:rPr>
          <w:rFonts w:asciiTheme="majorHAnsi" w:hAnsiTheme="majorHAnsi"/>
        </w:rPr>
        <w:t xml:space="preserve">insurance companies, corporations, exchanges, </w:t>
      </w:r>
      <w:proofErr w:type="spellStart"/>
      <w:r w:rsidR="00A03C1A">
        <w:rPr>
          <w:rFonts w:asciiTheme="majorHAnsi" w:hAnsiTheme="majorHAnsi"/>
        </w:rPr>
        <w:t>mutuals</w:t>
      </w:r>
      <w:proofErr w:type="spellEnd"/>
      <w:r w:rsidR="00A03C1A">
        <w:rPr>
          <w:rFonts w:asciiTheme="majorHAnsi" w:hAnsiTheme="majorHAnsi"/>
        </w:rPr>
        <w:t xml:space="preserve">, reciprocals, associations, Lloyds, surplus lines, or other insurers writing property and casualty insurance in the state of Texas.  </w:t>
      </w:r>
    </w:p>
    <w:p w:rsidR="00A03C1A" w:rsidRDefault="00A03C1A" w:rsidP="00AE6DA4">
      <w:pPr>
        <w:spacing w:after="0"/>
        <w:rPr>
          <w:rFonts w:asciiTheme="majorHAnsi" w:hAnsiTheme="majorHAnsi"/>
        </w:rPr>
      </w:pPr>
    </w:p>
    <w:p w:rsidR="00760D2D" w:rsidRDefault="00D53305" w:rsidP="00AE6DA4">
      <w:pPr>
        <w:spacing w:after="0"/>
        <w:rPr>
          <w:rFonts w:asciiTheme="majorHAnsi" w:hAnsiTheme="majorHAnsi"/>
        </w:rPr>
      </w:pPr>
      <w:r w:rsidRPr="00D53305">
        <w:rPr>
          <w:rFonts w:asciiTheme="majorHAnsi" w:hAnsiTheme="majorHAnsi"/>
        </w:rPr>
        <w:t>All insurers</w:t>
      </w:r>
      <w:r>
        <w:rPr>
          <w:rFonts w:asciiTheme="majorHAnsi" w:hAnsiTheme="majorHAnsi"/>
        </w:rPr>
        <w:t xml:space="preserve"> that issue or</w:t>
      </w:r>
      <w:r w:rsidR="00753A1F">
        <w:rPr>
          <w:rFonts w:asciiTheme="majorHAnsi" w:hAnsiTheme="majorHAnsi"/>
        </w:rPr>
        <w:t>,</w:t>
      </w:r>
      <w:r>
        <w:rPr>
          <w:rFonts w:asciiTheme="majorHAnsi" w:hAnsiTheme="majorHAnsi"/>
        </w:rPr>
        <w:t xml:space="preserve"> according to their underwriting guidelines, may issue a residential property policy </w:t>
      </w:r>
      <w:r w:rsidR="00753A1F">
        <w:rPr>
          <w:rFonts w:asciiTheme="majorHAnsi" w:hAnsiTheme="majorHAnsi"/>
        </w:rPr>
        <w:t>that provides windstorm, hurricane</w:t>
      </w:r>
      <w:r w:rsidR="00295ADD">
        <w:rPr>
          <w:rFonts w:asciiTheme="majorHAnsi" w:hAnsiTheme="majorHAnsi"/>
        </w:rPr>
        <w:t>,</w:t>
      </w:r>
      <w:r w:rsidR="00753A1F">
        <w:rPr>
          <w:rFonts w:asciiTheme="majorHAnsi" w:hAnsiTheme="majorHAnsi"/>
        </w:rPr>
        <w:t xml:space="preserve"> and hail coverage </w:t>
      </w:r>
      <w:r>
        <w:rPr>
          <w:rFonts w:asciiTheme="majorHAnsi" w:hAnsiTheme="majorHAnsi"/>
        </w:rPr>
        <w:t>in any</w:t>
      </w:r>
      <w:r w:rsidR="00753A1F">
        <w:rPr>
          <w:rFonts w:asciiTheme="majorHAnsi" w:hAnsiTheme="majorHAnsi"/>
        </w:rPr>
        <w:t xml:space="preserve"> portion of the </w:t>
      </w:r>
      <w:r>
        <w:rPr>
          <w:rFonts w:asciiTheme="majorHAnsi" w:hAnsiTheme="majorHAnsi"/>
        </w:rPr>
        <w:t xml:space="preserve">catastrophe </w:t>
      </w:r>
      <w:r w:rsidR="00753A1F">
        <w:rPr>
          <w:rFonts w:asciiTheme="majorHAnsi" w:hAnsiTheme="majorHAnsi"/>
        </w:rPr>
        <w:t xml:space="preserve">area are required to </w:t>
      </w:r>
      <w:r w:rsidR="005C2C41">
        <w:rPr>
          <w:rFonts w:asciiTheme="majorHAnsi" w:hAnsiTheme="majorHAnsi"/>
        </w:rPr>
        <w:t xml:space="preserve">provide a </w:t>
      </w:r>
      <w:r w:rsidR="005C2C41">
        <w:rPr>
          <w:rFonts w:asciiTheme="majorHAnsi" w:hAnsiTheme="majorHAnsi"/>
          <w:i/>
        </w:rPr>
        <w:t xml:space="preserve">Transmittal </w:t>
      </w:r>
      <w:r w:rsidR="001A5E52" w:rsidRPr="00DB725C">
        <w:rPr>
          <w:rFonts w:asciiTheme="majorHAnsi" w:hAnsiTheme="majorHAnsi"/>
          <w:i/>
        </w:rPr>
        <w:t>Form</w:t>
      </w:r>
      <w:r w:rsidR="005C2C41">
        <w:rPr>
          <w:rFonts w:asciiTheme="majorHAnsi" w:hAnsiTheme="majorHAnsi"/>
          <w:i/>
        </w:rPr>
        <w:t xml:space="preserve">, </w:t>
      </w:r>
      <w:r w:rsidR="005C2C41">
        <w:rPr>
          <w:rFonts w:asciiTheme="majorHAnsi" w:hAnsiTheme="majorHAnsi"/>
        </w:rPr>
        <w:t xml:space="preserve">submit data on the </w:t>
      </w:r>
      <w:r w:rsidR="005C2C41" w:rsidRPr="005C2C41">
        <w:rPr>
          <w:rFonts w:asciiTheme="majorHAnsi" w:hAnsiTheme="majorHAnsi"/>
          <w:i/>
        </w:rPr>
        <w:t>Data R</w:t>
      </w:r>
      <w:r w:rsidR="00753A1F" w:rsidRPr="005C2C41">
        <w:rPr>
          <w:rFonts w:asciiTheme="majorHAnsi" w:hAnsiTheme="majorHAnsi"/>
          <w:i/>
        </w:rPr>
        <w:t>eport</w:t>
      </w:r>
      <w:r w:rsidR="005C2C41" w:rsidRPr="005C2C41">
        <w:rPr>
          <w:rFonts w:asciiTheme="majorHAnsi" w:hAnsiTheme="majorHAnsi"/>
          <w:i/>
        </w:rPr>
        <w:t xml:space="preserve">ing </w:t>
      </w:r>
      <w:r w:rsidR="001A5E52" w:rsidRPr="00DB725C">
        <w:rPr>
          <w:rFonts w:asciiTheme="majorHAnsi" w:hAnsiTheme="majorHAnsi"/>
          <w:i/>
        </w:rPr>
        <w:t>Form</w:t>
      </w:r>
      <w:r w:rsidR="005C2C41">
        <w:rPr>
          <w:rFonts w:asciiTheme="majorHAnsi" w:hAnsiTheme="majorHAnsi"/>
          <w:i/>
        </w:rPr>
        <w:t xml:space="preserve">, </w:t>
      </w:r>
      <w:r w:rsidR="005C2C41">
        <w:rPr>
          <w:rFonts w:asciiTheme="majorHAnsi" w:hAnsiTheme="majorHAnsi"/>
        </w:rPr>
        <w:t xml:space="preserve">and complete the </w:t>
      </w:r>
      <w:r w:rsidR="005C2C41">
        <w:rPr>
          <w:rFonts w:asciiTheme="majorHAnsi" w:hAnsiTheme="majorHAnsi"/>
          <w:i/>
        </w:rPr>
        <w:t xml:space="preserve">Methodology Description </w:t>
      </w:r>
      <w:r w:rsidR="001A5E52" w:rsidRPr="001A5E52">
        <w:rPr>
          <w:rFonts w:asciiTheme="majorHAnsi" w:hAnsiTheme="majorHAnsi"/>
          <w:i/>
        </w:rPr>
        <w:t>Form</w:t>
      </w:r>
      <w:r w:rsidR="00753A1F">
        <w:rPr>
          <w:rFonts w:asciiTheme="majorHAnsi" w:hAnsiTheme="majorHAnsi"/>
        </w:rPr>
        <w:t xml:space="preserve">.  Insurers that do not issue and, according to their </w:t>
      </w:r>
      <w:r w:rsidR="005C2C41">
        <w:rPr>
          <w:rFonts w:asciiTheme="majorHAnsi" w:hAnsiTheme="majorHAnsi"/>
        </w:rPr>
        <w:t xml:space="preserve">existing </w:t>
      </w:r>
      <w:r w:rsidR="00753A1F">
        <w:rPr>
          <w:rFonts w:asciiTheme="majorHAnsi" w:hAnsiTheme="majorHAnsi"/>
        </w:rPr>
        <w:t>underwriting guidelines, will not issue any type of residential property policy that provides windstorm, hurricane, and hail coverage in any portion of the catastrophe area are only require</w:t>
      </w:r>
      <w:r w:rsidR="005C2C41">
        <w:rPr>
          <w:rFonts w:asciiTheme="majorHAnsi" w:hAnsiTheme="majorHAnsi"/>
        </w:rPr>
        <w:t>d</w:t>
      </w:r>
      <w:r w:rsidR="00753A1F">
        <w:rPr>
          <w:rFonts w:asciiTheme="majorHAnsi" w:hAnsiTheme="majorHAnsi"/>
        </w:rPr>
        <w:t xml:space="preserve"> to submit the </w:t>
      </w:r>
      <w:r w:rsidR="005C2C41" w:rsidRPr="005C2C41">
        <w:rPr>
          <w:rFonts w:asciiTheme="majorHAnsi" w:hAnsiTheme="majorHAnsi"/>
          <w:i/>
        </w:rPr>
        <w:t>T</w:t>
      </w:r>
      <w:r w:rsidR="00753A1F" w:rsidRPr="005C2C41">
        <w:rPr>
          <w:rFonts w:asciiTheme="majorHAnsi" w:hAnsiTheme="majorHAnsi"/>
          <w:i/>
        </w:rPr>
        <w:t xml:space="preserve">ransmittal </w:t>
      </w:r>
      <w:r w:rsidR="005C2C41" w:rsidRPr="005C2C41">
        <w:rPr>
          <w:rFonts w:asciiTheme="majorHAnsi" w:hAnsiTheme="majorHAnsi"/>
          <w:i/>
        </w:rPr>
        <w:t>F</w:t>
      </w:r>
      <w:r w:rsidR="00753A1F" w:rsidRPr="005C2C41">
        <w:rPr>
          <w:rFonts w:asciiTheme="majorHAnsi" w:hAnsiTheme="majorHAnsi"/>
          <w:i/>
        </w:rPr>
        <w:t>orm</w:t>
      </w:r>
      <w:r w:rsidR="00753A1F">
        <w:rPr>
          <w:rFonts w:asciiTheme="majorHAnsi" w:hAnsiTheme="majorHAnsi"/>
        </w:rPr>
        <w:t>.</w:t>
      </w:r>
      <w:r w:rsidR="00B5438C">
        <w:rPr>
          <w:rFonts w:asciiTheme="majorHAnsi" w:hAnsiTheme="majorHAnsi"/>
        </w:rPr>
        <w:t xml:space="preserve"> </w:t>
      </w:r>
    </w:p>
    <w:p w:rsidR="00B174E7" w:rsidRDefault="00B174E7" w:rsidP="00AE6DA4">
      <w:pPr>
        <w:spacing w:after="0"/>
        <w:rPr>
          <w:rFonts w:asciiTheme="majorHAnsi" w:hAnsiTheme="majorHAnsi"/>
        </w:rPr>
      </w:pPr>
    </w:p>
    <w:p w:rsidR="00760D2D" w:rsidRDefault="00760D2D" w:rsidP="00AE6DA4">
      <w:pPr>
        <w:spacing w:after="0"/>
        <w:rPr>
          <w:rFonts w:asciiTheme="majorHAnsi" w:hAnsiTheme="majorHAnsi"/>
        </w:rPr>
      </w:pPr>
      <w:r>
        <w:rPr>
          <w:rFonts w:asciiTheme="majorHAnsi" w:hAnsiTheme="majorHAnsi"/>
        </w:rPr>
        <w:t>For the purposes of th</w:t>
      </w:r>
      <w:r w:rsidR="00C45B12">
        <w:rPr>
          <w:rFonts w:asciiTheme="majorHAnsi" w:hAnsiTheme="majorHAnsi"/>
        </w:rPr>
        <w:t>is</w:t>
      </w:r>
      <w:r>
        <w:rPr>
          <w:rFonts w:asciiTheme="majorHAnsi" w:hAnsiTheme="majorHAnsi"/>
        </w:rPr>
        <w:t xml:space="preserve"> data call, residential property insurance means insurance coverage against loss to real or tangible personal property at a fixed location that is provided through an owner-occupied homeowner</w:t>
      </w:r>
      <w:r w:rsidR="00A51F16">
        <w:rPr>
          <w:rFonts w:asciiTheme="majorHAnsi" w:hAnsiTheme="majorHAnsi"/>
        </w:rPr>
        <w:t>’</w:t>
      </w:r>
      <w:r>
        <w:rPr>
          <w:rFonts w:asciiTheme="majorHAnsi" w:hAnsiTheme="majorHAnsi"/>
        </w:rPr>
        <w:t>s policy, a condominium unit owner</w:t>
      </w:r>
      <w:r w:rsidR="00B5438C">
        <w:rPr>
          <w:rFonts w:asciiTheme="majorHAnsi" w:hAnsiTheme="majorHAnsi"/>
        </w:rPr>
        <w:t>’</w:t>
      </w:r>
      <w:r>
        <w:rPr>
          <w:rFonts w:asciiTheme="majorHAnsi" w:hAnsiTheme="majorHAnsi"/>
        </w:rPr>
        <w:t>s policy, a renter’s</w:t>
      </w:r>
      <w:r w:rsidR="00A51F16">
        <w:rPr>
          <w:rFonts w:asciiTheme="majorHAnsi" w:hAnsiTheme="majorHAnsi"/>
        </w:rPr>
        <w:t xml:space="preserve"> or tenant</w:t>
      </w:r>
      <w:r>
        <w:rPr>
          <w:rFonts w:asciiTheme="majorHAnsi" w:hAnsiTheme="majorHAnsi"/>
        </w:rPr>
        <w:t xml:space="preserve"> policy</w:t>
      </w:r>
      <w:r w:rsidR="00A51F16">
        <w:rPr>
          <w:rFonts w:asciiTheme="majorHAnsi" w:hAnsiTheme="majorHAnsi"/>
        </w:rPr>
        <w:t>,</w:t>
      </w:r>
      <w:r>
        <w:rPr>
          <w:rFonts w:asciiTheme="majorHAnsi" w:hAnsiTheme="majorHAnsi"/>
        </w:rPr>
        <w:t xml:space="preserve"> a farm </w:t>
      </w:r>
      <w:r w:rsidR="00B5438C">
        <w:rPr>
          <w:rFonts w:asciiTheme="majorHAnsi" w:hAnsiTheme="majorHAnsi"/>
        </w:rPr>
        <w:t>and</w:t>
      </w:r>
      <w:r>
        <w:rPr>
          <w:rFonts w:asciiTheme="majorHAnsi" w:hAnsiTheme="majorHAnsi"/>
        </w:rPr>
        <w:t xml:space="preserve"> ranch owner’s policy</w:t>
      </w:r>
      <w:r w:rsidR="00A51F16">
        <w:rPr>
          <w:rFonts w:asciiTheme="majorHAnsi" w:hAnsiTheme="majorHAnsi"/>
        </w:rPr>
        <w:t>,</w:t>
      </w:r>
      <w:r>
        <w:rPr>
          <w:rFonts w:asciiTheme="majorHAnsi" w:hAnsiTheme="majorHAnsi"/>
        </w:rPr>
        <w:t xml:space="preserve"> or a residential dwelling allied lines policy.</w:t>
      </w:r>
    </w:p>
    <w:p w:rsidR="00FA7826" w:rsidRDefault="00FA7826" w:rsidP="00AE6DA4">
      <w:pPr>
        <w:spacing w:after="0"/>
        <w:rPr>
          <w:rFonts w:asciiTheme="majorHAnsi" w:hAnsiTheme="majorHAnsi"/>
        </w:rPr>
      </w:pPr>
    </w:p>
    <w:p w:rsidR="00102B7C" w:rsidRDefault="00102B7C" w:rsidP="00AE6DA4">
      <w:pPr>
        <w:spacing w:after="0"/>
        <w:rPr>
          <w:rFonts w:asciiTheme="majorHAnsi" w:hAnsiTheme="majorHAnsi"/>
        </w:rPr>
      </w:pPr>
    </w:p>
    <w:p w:rsidR="00A51F16" w:rsidRDefault="007E4AD8" w:rsidP="00A51F16">
      <w:pPr>
        <w:spacing w:after="0"/>
        <w:rPr>
          <w:rFonts w:asciiTheme="majorHAnsi" w:hAnsiTheme="majorHAnsi"/>
          <w:b/>
        </w:rPr>
      </w:pPr>
      <w:r>
        <w:rPr>
          <w:rFonts w:asciiTheme="majorHAnsi" w:hAnsiTheme="majorHAnsi"/>
          <w:b/>
          <w:noProof/>
        </w:rPr>
        <w:pict>
          <v:shape id="_x0000_s1033" type="#_x0000_t32" style="position:absolute;margin-left:0;margin-top:13.55pt;width:7in;height:0;z-index:251677696" o:connectortype="straight" strokecolor="#938953 [1614]" strokeweight="1pt">
            <v:shadow type="perspective" color="#974706 [1609]" opacity=".5" offset="1pt" offset2="-1pt"/>
          </v:shape>
        </w:pict>
      </w:r>
      <w:r w:rsidR="00C24056">
        <w:rPr>
          <w:rFonts w:asciiTheme="majorHAnsi" w:hAnsiTheme="majorHAnsi"/>
          <w:b/>
        </w:rPr>
        <w:t>Transmittal Form</w:t>
      </w:r>
    </w:p>
    <w:p w:rsidR="00A51F16" w:rsidRDefault="00B5438C" w:rsidP="00AE6DA4">
      <w:pPr>
        <w:spacing w:after="0"/>
        <w:rPr>
          <w:rFonts w:asciiTheme="majorHAnsi" w:hAnsiTheme="majorHAnsi"/>
        </w:rPr>
      </w:pPr>
      <w:r>
        <w:rPr>
          <w:rFonts w:asciiTheme="majorHAnsi" w:hAnsiTheme="majorHAnsi"/>
        </w:rPr>
        <w:t xml:space="preserve">In the </w:t>
      </w:r>
      <w:r w:rsidR="00F915E4" w:rsidRPr="00F915E4">
        <w:rPr>
          <w:rFonts w:asciiTheme="majorHAnsi" w:hAnsiTheme="majorHAnsi"/>
          <w:i/>
        </w:rPr>
        <w:t>C</w:t>
      </w:r>
      <w:r w:rsidRPr="00F915E4">
        <w:rPr>
          <w:rFonts w:asciiTheme="majorHAnsi" w:hAnsiTheme="majorHAnsi"/>
          <w:i/>
        </w:rPr>
        <w:t xml:space="preserve">ompany </w:t>
      </w:r>
      <w:r w:rsidR="00F915E4" w:rsidRPr="00F915E4">
        <w:rPr>
          <w:rFonts w:asciiTheme="majorHAnsi" w:hAnsiTheme="majorHAnsi"/>
          <w:i/>
        </w:rPr>
        <w:t>C</w:t>
      </w:r>
      <w:r w:rsidRPr="00F915E4">
        <w:rPr>
          <w:rFonts w:asciiTheme="majorHAnsi" w:hAnsiTheme="majorHAnsi"/>
          <w:i/>
        </w:rPr>
        <w:t xml:space="preserve">ontact </w:t>
      </w:r>
      <w:r w:rsidR="00F915E4" w:rsidRPr="00F915E4">
        <w:rPr>
          <w:rFonts w:asciiTheme="majorHAnsi" w:hAnsiTheme="majorHAnsi"/>
          <w:i/>
        </w:rPr>
        <w:t>I</w:t>
      </w:r>
      <w:r w:rsidR="00DD6EB0" w:rsidRPr="00F915E4">
        <w:rPr>
          <w:rFonts w:asciiTheme="majorHAnsi" w:hAnsiTheme="majorHAnsi"/>
          <w:i/>
        </w:rPr>
        <w:t>nformation</w:t>
      </w:r>
      <w:r w:rsidR="00DD6EB0">
        <w:rPr>
          <w:rFonts w:asciiTheme="majorHAnsi" w:hAnsiTheme="majorHAnsi"/>
        </w:rPr>
        <w:t xml:space="preserve"> </w:t>
      </w:r>
      <w:r>
        <w:rPr>
          <w:rFonts w:asciiTheme="majorHAnsi" w:hAnsiTheme="majorHAnsi"/>
        </w:rPr>
        <w:t xml:space="preserve">section of the </w:t>
      </w:r>
      <w:r w:rsidR="00F16839" w:rsidRPr="00F16839">
        <w:rPr>
          <w:rFonts w:asciiTheme="majorHAnsi" w:hAnsiTheme="majorHAnsi"/>
          <w:i/>
        </w:rPr>
        <w:t>T</w:t>
      </w:r>
      <w:r w:rsidRPr="00F16839">
        <w:rPr>
          <w:rFonts w:asciiTheme="majorHAnsi" w:hAnsiTheme="majorHAnsi"/>
          <w:i/>
        </w:rPr>
        <w:t xml:space="preserve">ransmittal </w:t>
      </w:r>
      <w:r w:rsidR="00F16839" w:rsidRPr="00F16839">
        <w:rPr>
          <w:rFonts w:asciiTheme="majorHAnsi" w:hAnsiTheme="majorHAnsi"/>
          <w:i/>
        </w:rPr>
        <w:t>F</w:t>
      </w:r>
      <w:r w:rsidRPr="00F16839">
        <w:rPr>
          <w:rFonts w:asciiTheme="majorHAnsi" w:hAnsiTheme="majorHAnsi"/>
          <w:i/>
        </w:rPr>
        <w:t>orm</w:t>
      </w:r>
      <w:r>
        <w:rPr>
          <w:rFonts w:asciiTheme="majorHAnsi" w:hAnsiTheme="majorHAnsi"/>
        </w:rPr>
        <w:t>, provide the name of the insurance group</w:t>
      </w:r>
      <w:r w:rsidR="00522A0F">
        <w:rPr>
          <w:rFonts w:asciiTheme="majorHAnsi" w:hAnsiTheme="majorHAnsi"/>
        </w:rPr>
        <w:t xml:space="preserve"> and </w:t>
      </w:r>
      <w:r>
        <w:rPr>
          <w:rFonts w:asciiTheme="majorHAnsi" w:hAnsiTheme="majorHAnsi"/>
        </w:rPr>
        <w:t xml:space="preserve">the name of the person TDI should contact for any questions, </w:t>
      </w:r>
      <w:r w:rsidR="00522A0F">
        <w:rPr>
          <w:rFonts w:asciiTheme="majorHAnsi" w:hAnsiTheme="majorHAnsi"/>
        </w:rPr>
        <w:t xml:space="preserve">and that </w:t>
      </w:r>
      <w:r>
        <w:rPr>
          <w:rFonts w:asciiTheme="majorHAnsi" w:hAnsiTheme="majorHAnsi"/>
        </w:rPr>
        <w:t>person’s title, telephone number, and email address.</w:t>
      </w:r>
    </w:p>
    <w:p w:rsidR="00B5438C" w:rsidRDefault="00B5438C" w:rsidP="00AE6DA4">
      <w:pPr>
        <w:spacing w:after="0"/>
        <w:rPr>
          <w:rFonts w:asciiTheme="majorHAnsi" w:hAnsiTheme="majorHAnsi"/>
        </w:rPr>
      </w:pPr>
    </w:p>
    <w:p w:rsidR="00B5438C" w:rsidRDefault="00DD6EB0" w:rsidP="00AE6DA4">
      <w:pPr>
        <w:spacing w:after="0"/>
        <w:rPr>
          <w:rFonts w:asciiTheme="majorHAnsi" w:hAnsiTheme="majorHAnsi"/>
        </w:rPr>
      </w:pPr>
      <w:r>
        <w:rPr>
          <w:rFonts w:asciiTheme="majorHAnsi" w:hAnsiTheme="majorHAnsi"/>
        </w:rPr>
        <w:t xml:space="preserve">Complete the </w:t>
      </w:r>
      <w:r w:rsidR="00F915E4" w:rsidRPr="00F915E4">
        <w:rPr>
          <w:rFonts w:asciiTheme="majorHAnsi" w:hAnsiTheme="majorHAnsi"/>
          <w:i/>
        </w:rPr>
        <w:t>C</w:t>
      </w:r>
      <w:r w:rsidRPr="00F915E4">
        <w:rPr>
          <w:rFonts w:asciiTheme="majorHAnsi" w:hAnsiTheme="majorHAnsi"/>
          <w:i/>
        </w:rPr>
        <w:t xml:space="preserve">ompany </w:t>
      </w:r>
      <w:r w:rsidR="00F915E4" w:rsidRPr="00F915E4">
        <w:rPr>
          <w:rFonts w:asciiTheme="majorHAnsi" w:hAnsiTheme="majorHAnsi"/>
          <w:i/>
        </w:rPr>
        <w:t>T</w:t>
      </w:r>
      <w:r w:rsidRPr="00F915E4">
        <w:rPr>
          <w:rFonts w:asciiTheme="majorHAnsi" w:hAnsiTheme="majorHAnsi"/>
          <w:i/>
        </w:rPr>
        <w:t xml:space="preserve">ransmittal </w:t>
      </w:r>
      <w:r>
        <w:rPr>
          <w:rFonts w:asciiTheme="majorHAnsi" w:hAnsiTheme="majorHAnsi"/>
        </w:rPr>
        <w:t xml:space="preserve">section for each insurance company in the insurer’s group </w:t>
      </w:r>
      <w:r w:rsidR="00522A0F">
        <w:rPr>
          <w:rFonts w:asciiTheme="majorHAnsi" w:hAnsiTheme="majorHAnsi"/>
        </w:rPr>
        <w:t xml:space="preserve">that is </w:t>
      </w:r>
      <w:r w:rsidR="005C2C41">
        <w:rPr>
          <w:rFonts w:asciiTheme="majorHAnsi" w:hAnsiTheme="majorHAnsi"/>
        </w:rPr>
        <w:t>authorized to write property insurance in Texas</w:t>
      </w:r>
      <w:r w:rsidR="00522A0F">
        <w:rPr>
          <w:rFonts w:asciiTheme="majorHAnsi" w:hAnsiTheme="majorHAnsi"/>
        </w:rPr>
        <w:t>,</w:t>
      </w:r>
      <w:r>
        <w:rPr>
          <w:rFonts w:asciiTheme="majorHAnsi" w:hAnsiTheme="majorHAnsi"/>
        </w:rPr>
        <w:t xml:space="preserve"> </w:t>
      </w:r>
      <w:r w:rsidRPr="005C2C41">
        <w:rPr>
          <w:rFonts w:asciiTheme="majorHAnsi" w:hAnsiTheme="majorHAnsi"/>
        </w:rPr>
        <w:t>whether or not the company writes residential property</w:t>
      </w:r>
      <w:r w:rsidR="005C2C41" w:rsidRPr="005C2C41">
        <w:rPr>
          <w:rFonts w:asciiTheme="majorHAnsi" w:hAnsiTheme="majorHAnsi"/>
        </w:rPr>
        <w:t xml:space="preserve"> in Texas</w:t>
      </w:r>
      <w:r w:rsidRPr="005C2C41">
        <w:rPr>
          <w:rFonts w:asciiTheme="majorHAnsi" w:hAnsiTheme="majorHAnsi"/>
        </w:rPr>
        <w:t>.</w:t>
      </w:r>
      <w:r>
        <w:rPr>
          <w:rFonts w:asciiTheme="majorHAnsi" w:hAnsiTheme="majorHAnsi"/>
        </w:rPr>
        <w:t xml:space="preserve">  Provide </w:t>
      </w:r>
      <w:r w:rsidR="005C2C41">
        <w:rPr>
          <w:rFonts w:asciiTheme="majorHAnsi" w:hAnsiTheme="majorHAnsi"/>
        </w:rPr>
        <w:t xml:space="preserve">each </w:t>
      </w:r>
      <w:r>
        <w:rPr>
          <w:rFonts w:asciiTheme="majorHAnsi" w:hAnsiTheme="majorHAnsi"/>
        </w:rPr>
        <w:t xml:space="preserve">company’s </w:t>
      </w:r>
      <w:r w:rsidR="001D1514">
        <w:rPr>
          <w:rFonts w:asciiTheme="majorHAnsi" w:hAnsiTheme="majorHAnsi"/>
        </w:rPr>
        <w:t xml:space="preserve">name and </w:t>
      </w:r>
      <w:r>
        <w:rPr>
          <w:rFonts w:asciiTheme="majorHAnsi" w:hAnsiTheme="majorHAnsi"/>
        </w:rPr>
        <w:t>NAIC number</w:t>
      </w:r>
      <w:r w:rsidR="00F915E4">
        <w:rPr>
          <w:rFonts w:asciiTheme="majorHAnsi" w:hAnsiTheme="majorHAnsi"/>
        </w:rPr>
        <w:t>.  For each company</w:t>
      </w:r>
      <w:r w:rsidR="00522A0F">
        <w:rPr>
          <w:rFonts w:asciiTheme="majorHAnsi" w:hAnsiTheme="majorHAnsi"/>
        </w:rPr>
        <w:t>,</w:t>
      </w:r>
      <w:r>
        <w:rPr>
          <w:rFonts w:asciiTheme="majorHAnsi" w:hAnsiTheme="majorHAnsi"/>
        </w:rPr>
        <w:t xml:space="preserve"> indicate whether the company </w:t>
      </w:r>
      <w:r w:rsidR="00F915E4">
        <w:rPr>
          <w:rFonts w:asciiTheme="majorHAnsi" w:hAnsiTheme="majorHAnsi"/>
        </w:rPr>
        <w:t>provides</w:t>
      </w:r>
      <w:r>
        <w:rPr>
          <w:rFonts w:asciiTheme="majorHAnsi" w:hAnsiTheme="majorHAnsi"/>
        </w:rPr>
        <w:t xml:space="preserve"> or is willing to </w:t>
      </w:r>
      <w:r w:rsidR="00F915E4">
        <w:rPr>
          <w:rFonts w:asciiTheme="majorHAnsi" w:hAnsiTheme="majorHAnsi"/>
        </w:rPr>
        <w:t>provide</w:t>
      </w:r>
      <w:r>
        <w:rPr>
          <w:rFonts w:asciiTheme="majorHAnsi" w:hAnsiTheme="majorHAnsi"/>
        </w:rPr>
        <w:t xml:space="preserve"> </w:t>
      </w:r>
      <w:r w:rsidR="00F915E4">
        <w:rPr>
          <w:rFonts w:asciiTheme="majorHAnsi" w:hAnsiTheme="majorHAnsi"/>
        </w:rPr>
        <w:t xml:space="preserve">windstorm, hurricane, and hail coverage for </w:t>
      </w:r>
      <w:r>
        <w:rPr>
          <w:rFonts w:asciiTheme="majorHAnsi" w:hAnsiTheme="majorHAnsi"/>
        </w:rPr>
        <w:t xml:space="preserve">the listed residential property </w:t>
      </w:r>
      <w:proofErr w:type="spellStart"/>
      <w:r>
        <w:rPr>
          <w:rFonts w:asciiTheme="majorHAnsi" w:hAnsiTheme="majorHAnsi"/>
        </w:rPr>
        <w:t>subline</w:t>
      </w:r>
      <w:proofErr w:type="spellEnd"/>
      <w:r>
        <w:rPr>
          <w:rFonts w:asciiTheme="majorHAnsi" w:hAnsiTheme="majorHAnsi"/>
        </w:rPr>
        <w:t xml:space="preserve"> by placing an “X” in the appropriate box.  </w:t>
      </w:r>
      <w:r w:rsidR="005C2C41">
        <w:rPr>
          <w:rFonts w:asciiTheme="majorHAnsi" w:hAnsiTheme="majorHAnsi"/>
        </w:rPr>
        <w:t>For each company</w:t>
      </w:r>
      <w:r w:rsidR="00522A0F">
        <w:rPr>
          <w:rFonts w:asciiTheme="majorHAnsi" w:hAnsiTheme="majorHAnsi"/>
        </w:rPr>
        <w:t>,</w:t>
      </w:r>
      <w:r w:rsidR="005C2C41">
        <w:rPr>
          <w:rFonts w:asciiTheme="majorHAnsi" w:hAnsiTheme="majorHAnsi"/>
        </w:rPr>
        <w:t xml:space="preserve"> i</w:t>
      </w:r>
      <w:r>
        <w:rPr>
          <w:rFonts w:asciiTheme="majorHAnsi" w:hAnsiTheme="majorHAnsi"/>
        </w:rPr>
        <w:t xml:space="preserve">ndicate “Yes” or “No” for </w:t>
      </w:r>
      <w:r w:rsidRPr="005C2C41">
        <w:rPr>
          <w:rFonts w:asciiTheme="majorHAnsi" w:hAnsiTheme="majorHAnsi"/>
        </w:rPr>
        <w:t xml:space="preserve">each </w:t>
      </w:r>
      <w:r>
        <w:rPr>
          <w:rFonts w:asciiTheme="majorHAnsi" w:hAnsiTheme="majorHAnsi"/>
        </w:rPr>
        <w:t xml:space="preserve">of the five </w:t>
      </w:r>
      <w:proofErr w:type="spellStart"/>
      <w:r>
        <w:rPr>
          <w:rFonts w:asciiTheme="majorHAnsi" w:hAnsiTheme="majorHAnsi"/>
        </w:rPr>
        <w:t>sublines</w:t>
      </w:r>
      <w:proofErr w:type="spellEnd"/>
      <w:r>
        <w:rPr>
          <w:rFonts w:asciiTheme="majorHAnsi" w:hAnsiTheme="majorHAnsi"/>
        </w:rPr>
        <w:t xml:space="preserve"> listed in the company transmittal section.</w:t>
      </w:r>
    </w:p>
    <w:p w:rsidR="00B174E7" w:rsidRDefault="00B174E7" w:rsidP="00AE6DA4">
      <w:pPr>
        <w:spacing w:after="0"/>
        <w:rPr>
          <w:rFonts w:asciiTheme="majorHAnsi" w:hAnsiTheme="majorHAnsi"/>
        </w:rPr>
      </w:pPr>
    </w:p>
    <w:p w:rsidR="00B174E7" w:rsidRDefault="00B174E7" w:rsidP="00AE6DA4">
      <w:pPr>
        <w:spacing w:after="0"/>
        <w:rPr>
          <w:rFonts w:asciiTheme="majorHAnsi" w:hAnsiTheme="majorHAnsi"/>
        </w:rPr>
      </w:pPr>
      <w:r>
        <w:rPr>
          <w:rFonts w:asciiTheme="majorHAnsi" w:hAnsiTheme="majorHAnsi"/>
        </w:rPr>
        <w:t xml:space="preserve">Insurers that provide wind coverage in the catastrophe area but do not have a rating methodology for excluding wind in the catastrophe area for a particular </w:t>
      </w:r>
      <w:proofErr w:type="spellStart"/>
      <w:r>
        <w:rPr>
          <w:rFonts w:asciiTheme="majorHAnsi" w:hAnsiTheme="majorHAnsi"/>
        </w:rPr>
        <w:t>subline</w:t>
      </w:r>
      <w:proofErr w:type="spellEnd"/>
      <w:r>
        <w:rPr>
          <w:rFonts w:asciiTheme="majorHAnsi" w:hAnsiTheme="majorHAnsi"/>
        </w:rPr>
        <w:t xml:space="preserve"> of business are not required to report data for that </w:t>
      </w:r>
      <w:proofErr w:type="spellStart"/>
      <w:r>
        <w:rPr>
          <w:rFonts w:asciiTheme="majorHAnsi" w:hAnsiTheme="majorHAnsi"/>
        </w:rPr>
        <w:t>subline</w:t>
      </w:r>
      <w:proofErr w:type="spellEnd"/>
      <w:r>
        <w:rPr>
          <w:rFonts w:asciiTheme="majorHAnsi" w:hAnsiTheme="majorHAnsi"/>
        </w:rPr>
        <w:t xml:space="preserve"> of insurance.  Companies that are in this situation </w:t>
      </w:r>
      <w:r w:rsidR="000663C1">
        <w:rPr>
          <w:rFonts w:asciiTheme="majorHAnsi" w:hAnsiTheme="majorHAnsi"/>
        </w:rPr>
        <w:t>must</w:t>
      </w:r>
      <w:r>
        <w:rPr>
          <w:rFonts w:asciiTheme="majorHAnsi" w:hAnsiTheme="majorHAnsi"/>
        </w:rPr>
        <w:t xml:space="preserve"> check </w:t>
      </w:r>
      <w:r w:rsidR="00CE3956">
        <w:rPr>
          <w:rFonts w:asciiTheme="majorHAnsi" w:hAnsiTheme="majorHAnsi"/>
        </w:rPr>
        <w:t xml:space="preserve">the </w:t>
      </w:r>
      <w:r>
        <w:rPr>
          <w:rFonts w:asciiTheme="majorHAnsi" w:hAnsiTheme="majorHAnsi"/>
        </w:rPr>
        <w:t>“No Credit”</w:t>
      </w:r>
      <w:r w:rsidR="00CE3956">
        <w:rPr>
          <w:rFonts w:asciiTheme="majorHAnsi" w:hAnsiTheme="majorHAnsi"/>
        </w:rPr>
        <w:t xml:space="preserve"> box for the applicable </w:t>
      </w:r>
      <w:proofErr w:type="spellStart"/>
      <w:r w:rsidR="00CE3956">
        <w:rPr>
          <w:rFonts w:asciiTheme="majorHAnsi" w:hAnsiTheme="majorHAnsi"/>
        </w:rPr>
        <w:t>subline</w:t>
      </w:r>
      <w:proofErr w:type="spellEnd"/>
      <w:r w:rsidR="00CE3956">
        <w:rPr>
          <w:rFonts w:asciiTheme="majorHAnsi" w:hAnsiTheme="majorHAnsi"/>
        </w:rPr>
        <w:t xml:space="preserve"> of insurance.</w:t>
      </w:r>
    </w:p>
    <w:p w:rsidR="003870E5" w:rsidRDefault="003870E5" w:rsidP="003870E5">
      <w:pPr>
        <w:spacing w:after="0"/>
        <w:rPr>
          <w:rFonts w:asciiTheme="majorHAnsi" w:hAnsiTheme="majorHAnsi"/>
          <w:b/>
        </w:rPr>
      </w:pPr>
    </w:p>
    <w:p w:rsidR="003870E5" w:rsidRDefault="007E4AD8" w:rsidP="003870E5">
      <w:pPr>
        <w:spacing w:after="0"/>
        <w:rPr>
          <w:rFonts w:asciiTheme="majorHAnsi" w:hAnsiTheme="majorHAnsi"/>
          <w:b/>
        </w:rPr>
      </w:pPr>
      <w:r>
        <w:rPr>
          <w:rFonts w:asciiTheme="majorHAnsi" w:hAnsiTheme="majorHAnsi"/>
          <w:b/>
          <w:noProof/>
        </w:rPr>
        <w:pict>
          <v:shape id="_x0000_s1034" type="#_x0000_t32" style="position:absolute;margin-left:.6pt;margin-top:14.3pt;width:7in;height:0;z-index:251679744" o:connectortype="straight" strokecolor="#938953 [1614]" strokeweight="1pt">
            <v:shadow type="perspective" color="#974706 [1609]" opacity=".5" offset="1pt" offset2="-1pt"/>
          </v:shape>
        </w:pict>
      </w:r>
      <w:r w:rsidR="00C24056" w:rsidRPr="00F915E4">
        <w:rPr>
          <w:rFonts w:asciiTheme="majorHAnsi" w:hAnsiTheme="majorHAnsi"/>
          <w:b/>
        </w:rPr>
        <w:t>D</w:t>
      </w:r>
      <w:r w:rsidR="00C24056">
        <w:rPr>
          <w:rFonts w:asciiTheme="majorHAnsi" w:hAnsiTheme="majorHAnsi"/>
          <w:b/>
        </w:rPr>
        <w:t>ata</w:t>
      </w:r>
      <w:r w:rsidR="00C24056" w:rsidRPr="00F915E4">
        <w:rPr>
          <w:rFonts w:asciiTheme="majorHAnsi" w:hAnsiTheme="majorHAnsi"/>
          <w:b/>
        </w:rPr>
        <w:t xml:space="preserve"> R</w:t>
      </w:r>
      <w:r w:rsidR="00C24056">
        <w:rPr>
          <w:rFonts w:asciiTheme="majorHAnsi" w:hAnsiTheme="majorHAnsi"/>
          <w:b/>
        </w:rPr>
        <w:t>eporting</w:t>
      </w:r>
      <w:r w:rsidR="00C24056" w:rsidRPr="00F915E4">
        <w:rPr>
          <w:rFonts w:asciiTheme="majorHAnsi" w:hAnsiTheme="majorHAnsi"/>
          <w:b/>
        </w:rPr>
        <w:t xml:space="preserve"> F</w:t>
      </w:r>
      <w:r w:rsidR="00C24056">
        <w:rPr>
          <w:rFonts w:asciiTheme="majorHAnsi" w:hAnsiTheme="majorHAnsi"/>
          <w:b/>
        </w:rPr>
        <w:t>orm</w:t>
      </w:r>
    </w:p>
    <w:p w:rsidR="009953A0" w:rsidRPr="003870E5" w:rsidRDefault="003870E5" w:rsidP="00AE6DA4">
      <w:pPr>
        <w:spacing w:after="0"/>
        <w:rPr>
          <w:rFonts w:asciiTheme="majorHAnsi" w:hAnsiTheme="majorHAnsi"/>
          <w:u w:val="single"/>
        </w:rPr>
      </w:pPr>
      <w:r>
        <w:rPr>
          <w:rFonts w:asciiTheme="majorHAnsi" w:hAnsiTheme="majorHAnsi"/>
          <w:u w:val="single"/>
        </w:rPr>
        <w:t>Line of Business Codes</w:t>
      </w:r>
    </w:p>
    <w:p w:rsidR="00DD6EB0" w:rsidRDefault="009953A0" w:rsidP="00AE6DA4">
      <w:pPr>
        <w:spacing w:after="0"/>
        <w:rPr>
          <w:rFonts w:asciiTheme="majorHAnsi" w:hAnsiTheme="majorHAnsi"/>
        </w:rPr>
      </w:pPr>
      <w:r>
        <w:rPr>
          <w:rFonts w:asciiTheme="majorHAnsi" w:hAnsiTheme="majorHAnsi"/>
        </w:rPr>
        <w:t xml:space="preserve">The data call uses the following codes for the listed residential property </w:t>
      </w:r>
      <w:proofErr w:type="spellStart"/>
      <w:r>
        <w:rPr>
          <w:rFonts w:asciiTheme="majorHAnsi" w:hAnsiTheme="majorHAnsi"/>
        </w:rPr>
        <w:t>sublines</w:t>
      </w:r>
      <w:proofErr w:type="spellEnd"/>
      <w:r w:rsidR="00C24056">
        <w:rPr>
          <w:rFonts w:asciiTheme="majorHAnsi" w:hAnsiTheme="majorHAnsi"/>
        </w:rPr>
        <w:t>:</w:t>
      </w:r>
    </w:p>
    <w:p w:rsidR="009953A0" w:rsidRDefault="009953A0" w:rsidP="00AE6DA4">
      <w:pPr>
        <w:spacing w:after="0"/>
        <w:rPr>
          <w:rFonts w:asciiTheme="majorHAnsi" w:hAnsiTheme="majorHAnsi"/>
        </w:rPr>
      </w:pPr>
    </w:p>
    <w:p w:rsidR="009953A0" w:rsidRDefault="009953A0" w:rsidP="00C45B12">
      <w:pPr>
        <w:spacing w:after="0"/>
        <w:ind w:left="720" w:hanging="720"/>
        <w:rPr>
          <w:rFonts w:asciiTheme="majorHAnsi" w:hAnsiTheme="majorHAnsi"/>
        </w:rPr>
      </w:pPr>
      <w:r>
        <w:rPr>
          <w:rFonts w:asciiTheme="majorHAnsi" w:hAnsiTheme="majorHAnsi"/>
        </w:rPr>
        <w:t>HO:</w:t>
      </w:r>
      <w:r>
        <w:rPr>
          <w:rFonts w:asciiTheme="majorHAnsi" w:hAnsiTheme="majorHAnsi"/>
        </w:rPr>
        <w:tab/>
        <w:t xml:space="preserve">Owner-occupied homeowners’ policies written on an HO-1, HO-2, HO-3, HO-5, HO-A, HO-A (Enhanced), HO-B, HO-C, or other similar </w:t>
      </w:r>
      <w:r w:rsidR="008142EB">
        <w:rPr>
          <w:rFonts w:asciiTheme="majorHAnsi" w:hAnsiTheme="majorHAnsi"/>
        </w:rPr>
        <w:t>forms</w:t>
      </w:r>
      <w:r w:rsidR="00C45B12">
        <w:rPr>
          <w:rFonts w:asciiTheme="majorHAnsi" w:hAnsiTheme="majorHAnsi"/>
        </w:rPr>
        <w:t>,</w:t>
      </w:r>
      <w:r w:rsidR="00A03C1A">
        <w:rPr>
          <w:rFonts w:asciiTheme="majorHAnsi" w:hAnsiTheme="majorHAnsi"/>
        </w:rPr>
        <w:t xml:space="preserve"> and reported on line </w:t>
      </w:r>
      <w:r w:rsidR="008142EB">
        <w:rPr>
          <w:rFonts w:asciiTheme="majorHAnsi" w:hAnsiTheme="majorHAnsi"/>
        </w:rPr>
        <w:t>4 of the annual statement.</w:t>
      </w:r>
    </w:p>
    <w:p w:rsidR="008142EB" w:rsidRDefault="008142EB" w:rsidP="00AE6DA4">
      <w:pPr>
        <w:spacing w:after="0"/>
        <w:rPr>
          <w:rFonts w:asciiTheme="majorHAnsi" w:hAnsiTheme="majorHAnsi"/>
        </w:rPr>
      </w:pPr>
    </w:p>
    <w:p w:rsidR="009953A0" w:rsidRDefault="009953A0" w:rsidP="008142EB">
      <w:pPr>
        <w:spacing w:after="0"/>
        <w:ind w:left="720" w:hanging="720"/>
        <w:rPr>
          <w:rFonts w:asciiTheme="majorHAnsi" w:hAnsiTheme="majorHAnsi"/>
        </w:rPr>
      </w:pPr>
      <w:r>
        <w:rPr>
          <w:rFonts w:asciiTheme="majorHAnsi" w:hAnsiTheme="majorHAnsi"/>
        </w:rPr>
        <w:t>TEN</w:t>
      </w:r>
      <w:r w:rsidR="008142EB">
        <w:rPr>
          <w:rFonts w:asciiTheme="majorHAnsi" w:hAnsiTheme="majorHAnsi"/>
        </w:rPr>
        <w:t>:</w:t>
      </w:r>
      <w:r>
        <w:rPr>
          <w:rFonts w:asciiTheme="majorHAnsi" w:hAnsiTheme="majorHAnsi"/>
        </w:rPr>
        <w:tab/>
        <w:t>Renters</w:t>
      </w:r>
      <w:r w:rsidR="00C45B12">
        <w:rPr>
          <w:rFonts w:asciiTheme="majorHAnsi" w:hAnsiTheme="majorHAnsi"/>
        </w:rPr>
        <w:t>’</w:t>
      </w:r>
      <w:r>
        <w:rPr>
          <w:rFonts w:asciiTheme="majorHAnsi" w:hAnsiTheme="majorHAnsi"/>
        </w:rPr>
        <w:t xml:space="preserve"> policies written on an HO-4, HO-BT, HO-CT, or other similar </w:t>
      </w:r>
      <w:r w:rsidR="008142EB">
        <w:rPr>
          <w:rFonts w:asciiTheme="majorHAnsi" w:hAnsiTheme="majorHAnsi"/>
        </w:rPr>
        <w:t>form</w:t>
      </w:r>
      <w:r w:rsidR="00C45B12">
        <w:rPr>
          <w:rFonts w:asciiTheme="majorHAnsi" w:hAnsiTheme="majorHAnsi"/>
        </w:rPr>
        <w:t>,</w:t>
      </w:r>
      <w:r w:rsidR="008142EB">
        <w:rPr>
          <w:rFonts w:asciiTheme="majorHAnsi" w:hAnsiTheme="majorHAnsi"/>
        </w:rPr>
        <w:t xml:space="preserve"> and reported on line 4 of the annual statement</w:t>
      </w:r>
      <w:r>
        <w:rPr>
          <w:rFonts w:asciiTheme="majorHAnsi" w:hAnsiTheme="majorHAnsi"/>
        </w:rPr>
        <w:t>.</w:t>
      </w:r>
    </w:p>
    <w:p w:rsidR="009953A0" w:rsidRDefault="009953A0" w:rsidP="00AE6DA4">
      <w:pPr>
        <w:spacing w:after="0"/>
        <w:rPr>
          <w:rFonts w:asciiTheme="majorHAnsi" w:hAnsiTheme="majorHAnsi"/>
        </w:rPr>
      </w:pPr>
    </w:p>
    <w:p w:rsidR="009953A0" w:rsidRDefault="009953A0" w:rsidP="008142EB">
      <w:pPr>
        <w:spacing w:after="0"/>
        <w:ind w:left="720" w:hanging="720"/>
        <w:rPr>
          <w:rFonts w:asciiTheme="majorHAnsi" w:hAnsiTheme="majorHAnsi"/>
        </w:rPr>
      </w:pPr>
      <w:r>
        <w:rPr>
          <w:rFonts w:asciiTheme="majorHAnsi" w:hAnsiTheme="majorHAnsi"/>
        </w:rPr>
        <w:t>CON</w:t>
      </w:r>
      <w:r w:rsidR="008142EB">
        <w:rPr>
          <w:rFonts w:asciiTheme="majorHAnsi" w:hAnsiTheme="majorHAnsi"/>
        </w:rPr>
        <w:t>:</w:t>
      </w:r>
      <w:r>
        <w:rPr>
          <w:rFonts w:asciiTheme="majorHAnsi" w:hAnsiTheme="majorHAnsi"/>
        </w:rPr>
        <w:tab/>
        <w:t xml:space="preserve">Condominium unit owners’ policies written on an HO-6, HO-BT, HO-CT, or other similar </w:t>
      </w:r>
      <w:r w:rsidR="008142EB">
        <w:rPr>
          <w:rFonts w:asciiTheme="majorHAnsi" w:hAnsiTheme="majorHAnsi"/>
        </w:rPr>
        <w:t>forms</w:t>
      </w:r>
      <w:r w:rsidR="00C45B12">
        <w:rPr>
          <w:rFonts w:asciiTheme="majorHAnsi" w:hAnsiTheme="majorHAnsi"/>
        </w:rPr>
        <w:t>,</w:t>
      </w:r>
      <w:r w:rsidR="00A03C1A">
        <w:rPr>
          <w:rFonts w:asciiTheme="majorHAnsi" w:hAnsiTheme="majorHAnsi"/>
        </w:rPr>
        <w:t xml:space="preserve"> and reported on line </w:t>
      </w:r>
      <w:r w:rsidR="008142EB">
        <w:rPr>
          <w:rFonts w:asciiTheme="majorHAnsi" w:hAnsiTheme="majorHAnsi"/>
        </w:rPr>
        <w:t>4 of the annual</w:t>
      </w:r>
      <w:r w:rsidR="00C45B12">
        <w:rPr>
          <w:rFonts w:asciiTheme="majorHAnsi" w:hAnsiTheme="majorHAnsi"/>
        </w:rPr>
        <w:t xml:space="preserve"> </w:t>
      </w:r>
      <w:r w:rsidR="008142EB">
        <w:rPr>
          <w:rFonts w:asciiTheme="majorHAnsi" w:hAnsiTheme="majorHAnsi"/>
        </w:rPr>
        <w:t>statement.</w:t>
      </w:r>
    </w:p>
    <w:p w:rsidR="009953A0" w:rsidRDefault="009953A0" w:rsidP="00AE6DA4">
      <w:pPr>
        <w:spacing w:after="0"/>
        <w:rPr>
          <w:rFonts w:asciiTheme="majorHAnsi" w:hAnsiTheme="majorHAnsi"/>
        </w:rPr>
      </w:pPr>
    </w:p>
    <w:p w:rsidR="009953A0" w:rsidRDefault="009953A0" w:rsidP="008142EB">
      <w:pPr>
        <w:spacing w:after="0"/>
        <w:ind w:left="720" w:hanging="720"/>
        <w:rPr>
          <w:rFonts w:asciiTheme="majorHAnsi" w:hAnsiTheme="majorHAnsi"/>
        </w:rPr>
      </w:pPr>
      <w:r>
        <w:rPr>
          <w:rFonts w:asciiTheme="majorHAnsi" w:hAnsiTheme="majorHAnsi"/>
        </w:rPr>
        <w:t>DWLG</w:t>
      </w:r>
      <w:r w:rsidR="008142EB">
        <w:rPr>
          <w:rFonts w:asciiTheme="majorHAnsi" w:hAnsiTheme="majorHAnsi"/>
        </w:rPr>
        <w:t>:</w:t>
      </w:r>
      <w:r>
        <w:rPr>
          <w:rFonts w:asciiTheme="majorHAnsi" w:hAnsiTheme="majorHAnsi"/>
        </w:rPr>
        <w:tab/>
        <w:t>Residential dwelling allied lines policies written on a TD</w:t>
      </w:r>
      <w:r w:rsidR="00445A9A">
        <w:rPr>
          <w:rFonts w:asciiTheme="majorHAnsi" w:hAnsiTheme="majorHAnsi"/>
        </w:rPr>
        <w:t>P</w:t>
      </w:r>
      <w:r>
        <w:rPr>
          <w:rFonts w:asciiTheme="majorHAnsi" w:hAnsiTheme="majorHAnsi"/>
        </w:rPr>
        <w:t xml:space="preserve">-1, TDP-2, TDP-3, or other similar </w:t>
      </w:r>
      <w:r w:rsidR="008142EB">
        <w:rPr>
          <w:rFonts w:asciiTheme="majorHAnsi" w:hAnsiTheme="majorHAnsi"/>
        </w:rPr>
        <w:t>forms intended for residential structures</w:t>
      </w:r>
      <w:r w:rsidR="00C45B12">
        <w:rPr>
          <w:rFonts w:asciiTheme="majorHAnsi" w:hAnsiTheme="majorHAnsi"/>
        </w:rPr>
        <w:t>,</w:t>
      </w:r>
      <w:r w:rsidR="00493AB3">
        <w:rPr>
          <w:rFonts w:asciiTheme="majorHAnsi" w:hAnsiTheme="majorHAnsi"/>
        </w:rPr>
        <w:t xml:space="preserve"> and reported on line </w:t>
      </w:r>
      <w:r w:rsidR="008142EB">
        <w:rPr>
          <w:rFonts w:asciiTheme="majorHAnsi" w:hAnsiTheme="majorHAnsi"/>
        </w:rPr>
        <w:t>2.1 of the annual statement.</w:t>
      </w:r>
    </w:p>
    <w:p w:rsidR="008142EB" w:rsidRDefault="008142EB" w:rsidP="00AE6DA4">
      <w:pPr>
        <w:spacing w:after="0"/>
        <w:rPr>
          <w:rFonts w:asciiTheme="majorHAnsi" w:hAnsiTheme="majorHAnsi"/>
        </w:rPr>
      </w:pPr>
    </w:p>
    <w:p w:rsidR="008142EB" w:rsidRDefault="008142EB" w:rsidP="00AE6DA4">
      <w:pPr>
        <w:spacing w:after="0"/>
        <w:rPr>
          <w:rFonts w:asciiTheme="majorHAnsi" w:hAnsiTheme="majorHAnsi"/>
        </w:rPr>
      </w:pPr>
      <w:r>
        <w:rPr>
          <w:rFonts w:asciiTheme="majorHAnsi" w:hAnsiTheme="majorHAnsi"/>
        </w:rPr>
        <w:t>FRO:</w:t>
      </w:r>
      <w:r>
        <w:rPr>
          <w:rFonts w:asciiTheme="majorHAnsi" w:hAnsiTheme="majorHAnsi"/>
        </w:rPr>
        <w:tab/>
        <w:t xml:space="preserve">Farm and ranch owners’ policies reported on line </w:t>
      </w:r>
      <w:r w:rsidR="00177691">
        <w:rPr>
          <w:rFonts w:asciiTheme="majorHAnsi" w:hAnsiTheme="majorHAnsi"/>
        </w:rPr>
        <w:t>3</w:t>
      </w:r>
      <w:r>
        <w:rPr>
          <w:rFonts w:asciiTheme="majorHAnsi" w:hAnsiTheme="majorHAnsi"/>
        </w:rPr>
        <w:t xml:space="preserve"> of the annual statement.</w:t>
      </w:r>
    </w:p>
    <w:p w:rsidR="00451B4A" w:rsidRDefault="00451B4A" w:rsidP="00AE6DA4">
      <w:pPr>
        <w:spacing w:after="0"/>
        <w:rPr>
          <w:rFonts w:asciiTheme="majorHAnsi" w:hAnsiTheme="majorHAnsi"/>
        </w:rPr>
      </w:pPr>
    </w:p>
    <w:p w:rsidR="00451B4A" w:rsidRPr="003870E5" w:rsidRDefault="003870E5" w:rsidP="00451B4A">
      <w:pPr>
        <w:spacing w:after="0"/>
        <w:rPr>
          <w:rFonts w:asciiTheme="majorHAnsi" w:hAnsiTheme="majorHAnsi"/>
          <w:u w:val="single"/>
        </w:rPr>
      </w:pPr>
      <w:r>
        <w:rPr>
          <w:rFonts w:asciiTheme="majorHAnsi" w:hAnsiTheme="majorHAnsi"/>
          <w:u w:val="single"/>
        </w:rPr>
        <w:t>Definition of Catastrophe Area</w:t>
      </w:r>
    </w:p>
    <w:p w:rsidR="00451B4A" w:rsidRDefault="00451B4A" w:rsidP="00AE6DA4">
      <w:pPr>
        <w:spacing w:after="0"/>
        <w:rPr>
          <w:rFonts w:asciiTheme="majorHAnsi" w:hAnsiTheme="majorHAnsi"/>
        </w:rPr>
      </w:pPr>
      <w:r>
        <w:rPr>
          <w:rFonts w:asciiTheme="majorHAnsi" w:hAnsiTheme="majorHAnsi"/>
        </w:rPr>
        <w:t>The catastrophe area means the 14 coastal counties in Texas plus those portions of southeastern Harris County east</w:t>
      </w:r>
      <w:r w:rsidR="00F16839">
        <w:rPr>
          <w:rFonts w:asciiTheme="majorHAnsi" w:hAnsiTheme="majorHAnsi"/>
        </w:rPr>
        <w:t xml:space="preserve"> of</w:t>
      </w:r>
      <w:r>
        <w:rPr>
          <w:rFonts w:asciiTheme="majorHAnsi" w:hAnsiTheme="majorHAnsi"/>
        </w:rPr>
        <w:t xml:space="preserve"> </w:t>
      </w:r>
      <w:r w:rsidR="00156CD9">
        <w:rPr>
          <w:rFonts w:asciiTheme="majorHAnsi" w:hAnsiTheme="majorHAnsi"/>
        </w:rPr>
        <w:t xml:space="preserve">state </w:t>
      </w:r>
      <w:r>
        <w:rPr>
          <w:rFonts w:asciiTheme="majorHAnsi" w:hAnsiTheme="majorHAnsi"/>
        </w:rPr>
        <w:t xml:space="preserve">highway 146 that </w:t>
      </w:r>
      <w:r w:rsidR="00C45B12">
        <w:rPr>
          <w:rFonts w:asciiTheme="majorHAnsi" w:hAnsiTheme="majorHAnsi"/>
        </w:rPr>
        <w:t xml:space="preserve">are </w:t>
      </w:r>
      <w:r>
        <w:rPr>
          <w:rFonts w:asciiTheme="majorHAnsi" w:hAnsiTheme="majorHAnsi"/>
        </w:rPr>
        <w:t>designated as a catastrophe</w:t>
      </w:r>
      <w:r w:rsidR="00364716">
        <w:rPr>
          <w:rFonts w:asciiTheme="majorHAnsi" w:hAnsiTheme="majorHAnsi"/>
        </w:rPr>
        <w:t xml:space="preserve"> area.  The 14 coastal counties are:  Aransas, Brazoria, Calhoun, Cameron, Chambers, Galveston, Jefferson, </w:t>
      </w:r>
      <w:proofErr w:type="spellStart"/>
      <w:r w:rsidR="00364716">
        <w:rPr>
          <w:rFonts w:asciiTheme="majorHAnsi" w:hAnsiTheme="majorHAnsi"/>
        </w:rPr>
        <w:t>Kenedy</w:t>
      </w:r>
      <w:proofErr w:type="spellEnd"/>
      <w:r w:rsidR="00364716">
        <w:rPr>
          <w:rFonts w:asciiTheme="majorHAnsi" w:hAnsiTheme="majorHAnsi"/>
        </w:rPr>
        <w:t xml:space="preserve">, Kleberg, Matagorda, Nueces, Refugio, San Patricio, and Willacy. </w:t>
      </w:r>
    </w:p>
    <w:p w:rsidR="00B561EC" w:rsidRDefault="00B561EC" w:rsidP="00AE6DA4">
      <w:pPr>
        <w:spacing w:after="0"/>
        <w:rPr>
          <w:rFonts w:asciiTheme="majorHAnsi" w:hAnsiTheme="majorHAnsi"/>
        </w:rPr>
      </w:pPr>
    </w:p>
    <w:p w:rsidR="00102B7C" w:rsidRDefault="00102B7C" w:rsidP="00AE6DA4">
      <w:pPr>
        <w:spacing w:after="0"/>
        <w:rPr>
          <w:rFonts w:asciiTheme="majorHAnsi" w:hAnsiTheme="majorHAnsi"/>
        </w:rPr>
      </w:pPr>
    </w:p>
    <w:p w:rsidR="00364716" w:rsidRPr="003604D4" w:rsidRDefault="00145DFE" w:rsidP="00AE6DA4">
      <w:pPr>
        <w:spacing w:after="0"/>
        <w:rPr>
          <w:rFonts w:asciiTheme="majorHAnsi" w:hAnsiTheme="majorHAnsi"/>
          <w:u w:val="single"/>
        </w:rPr>
      </w:pPr>
      <w:r w:rsidRPr="00145DFE">
        <w:rPr>
          <w:rFonts w:asciiTheme="majorHAnsi" w:hAnsiTheme="majorHAnsi"/>
          <w:u w:val="single"/>
        </w:rPr>
        <w:t>Farm and Ranch</w:t>
      </w:r>
      <w:r w:rsidR="003604D4">
        <w:rPr>
          <w:rFonts w:asciiTheme="majorHAnsi" w:hAnsiTheme="majorHAnsi"/>
          <w:u w:val="single"/>
        </w:rPr>
        <w:t xml:space="preserve"> O</w:t>
      </w:r>
      <w:r w:rsidRPr="00145DFE">
        <w:rPr>
          <w:rFonts w:asciiTheme="majorHAnsi" w:hAnsiTheme="majorHAnsi"/>
          <w:u w:val="single"/>
        </w:rPr>
        <w:t>wners</w:t>
      </w:r>
      <w:r w:rsidR="00442824">
        <w:rPr>
          <w:rFonts w:asciiTheme="majorHAnsi" w:hAnsiTheme="majorHAnsi"/>
          <w:u w:val="single"/>
        </w:rPr>
        <w:t>’</w:t>
      </w:r>
      <w:r w:rsidRPr="00145DFE">
        <w:rPr>
          <w:rFonts w:asciiTheme="majorHAnsi" w:hAnsiTheme="majorHAnsi"/>
          <w:u w:val="single"/>
        </w:rPr>
        <w:t xml:space="preserve"> </w:t>
      </w:r>
      <w:r w:rsidR="003604D4">
        <w:rPr>
          <w:rFonts w:asciiTheme="majorHAnsi" w:hAnsiTheme="majorHAnsi"/>
          <w:u w:val="single"/>
        </w:rPr>
        <w:t>Policies</w:t>
      </w:r>
    </w:p>
    <w:p w:rsidR="00B15581" w:rsidRDefault="00CB3CD2" w:rsidP="00AE6DA4">
      <w:pPr>
        <w:spacing w:after="0"/>
        <w:rPr>
          <w:rFonts w:asciiTheme="majorHAnsi" w:hAnsiTheme="majorHAnsi"/>
        </w:rPr>
      </w:pPr>
      <w:r>
        <w:rPr>
          <w:rFonts w:asciiTheme="majorHAnsi" w:hAnsiTheme="majorHAnsi"/>
        </w:rPr>
        <w:t>For farm and ranch owners</w:t>
      </w:r>
      <w:r w:rsidR="00224F67">
        <w:rPr>
          <w:rFonts w:asciiTheme="majorHAnsi" w:hAnsiTheme="majorHAnsi"/>
        </w:rPr>
        <w:t>’</w:t>
      </w:r>
      <w:r w:rsidR="00442824">
        <w:rPr>
          <w:rFonts w:asciiTheme="majorHAnsi" w:hAnsiTheme="majorHAnsi"/>
        </w:rPr>
        <w:t xml:space="preserve"> policies</w:t>
      </w:r>
      <w:r>
        <w:rPr>
          <w:rFonts w:asciiTheme="majorHAnsi" w:hAnsiTheme="majorHAnsi"/>
        </w:rPr>
        <w:t xml:space="preserve">, insurers must report the average credit for excluding wind and hail coverage on </w:t>
      </w:r>
      <w:r w:rsidR="00B561EC">
        <w:rPr>
          <w:rFonts w:asciiTheme="majorHAnsi" w:hAnsiTheme="majorHAnsi"/>
        </w:rPr>
        <w:t>the residence premise</w:t>
      </w:r>
      <w:r>
        <w:rPr>
          <w:rFonts w:asciiTheme="majorHAnsi" w:hAnsiTheme="majorHAnsi"/>
        </w:rPr>
        <w:t>.</w:t>
      </w:r>
      <w:r w:rsidR="00224F67">
        <w:rPr>
          <w:rFonts w:asciiTheme="majorHAnsi" w:hAnsiTheme="majorHAnsi"/>
        </w:rPr>
        <w:t xml:space="preserve">  Insurers must report this as a percentage of the total farm and ranch owners’ premium.  However, </w:t>
      </w:r>
      <w:r w:rsidR="004A7E29" w:rsidRPr="004A7E29">
        <w:rPr>
          <w:rFonts w:asciiTheme="majorHAnsi" w:hAnsiTheme="majorHAnsi"/>
          <w:b/>
        </w:rPr>
        <w:t>if</w:t>
      </w:r>
      <w:r w:rsidR="00224F67">
        <w:rPr>
          <w:rFonts w:asciiTheme="majorHAnsi" w:hAnsiTheme="majorHAnsi"/>
        </w:rPr>
        <w:t xml:space="preserve"> the company reports the </w:t>
      </w:r>
      <w:r w:rsidR="00B561EC">
        <w:rPr>
          <w:rFonts w:asciiTheme="majorHAnsi" w:hAnsiTheme="majorHAnsi"/>
        </w:rPr>
        <w:t>premium for the residence premise</w:t>
      </w:r>
      <w:r w:rsidR="00224F67">
        <w:rPr>
          <w:rFonts w:asciiTheme="majorHAnsi" w:hAnsiTheme="majorHAnsi"/>
        </w:rPr>
        <w:t xml:space="preserve"> as a separate item on the declarations page, the company </w:t>
      </w:r>
      <w:r w:rsidR="004A7E29" w:rsidRPr="004A7E29">
        <w:rPr>
          <w:rFonts w:asciiTheme="majorHAnsi" w:hAnsiTheme="majorHAnsi"/>
          <w:b/>
        </w:rPr>
        <w:t>may</w:t>
      </w:r>
      <w:r w:rsidR="00224F67">
        <w:rPr>
          <w:rFonts w:asciiTheme="majorHAnsi" w:hAnsiTheme="majorHAnsi"/>
        </w:rPr>
        <w:t xml:space="preserve"> report the average credit for excluding wind and hail coverage on the </w:t>
      </w:r>
      <w:r w:rsidR="00B561EC">
        <w:rPr>
          <w:rFonts w:asciiTheme="majorHAnsi" w:hAnsiTheme="majorHAnsi"/>
        </w:rPr>
        <w:t>residence premise</w:t>
      </w:r>
      <w:r w:rsidR="00224F67">
        <w:rPr>
          <w:rFonts w:asciiTheme="majorHAnsi" w:hAnsiTheme="majorHAnsi"/>
        </w:rPr>
        <w:t xml:space="preserve"> as a percentage of the </w:t>
      </w:r>
      <w:r w:rsidR="009039E3">
        <w:rPr>
          <w:rFonts w:asciiTheme="majorHAnsi" w:hAnsiTheme="majorHAnsi"/>
        </w:rPr>
        <w:t xml:space="preserve">premium for the </w:t>
      </w:r>
      <w:r w:rsidR="00B561EC">
        <w:rPr>
          <w:rFonts w:asciiTheme="majorHAnsi" w:hAnsiTheme="majorHAnsi"/>
        </w:rPr>
        <w:t xml:space="preserve">residence </w:t>
      </w:r>
      <w:r w:rsidR="009039E3">
        <w:rPr>
          <w:rFonts w:asciiTheme="majorHAnsi" w:hAnsiTheme="majorHAnsi"/>
        </w:rPr>
        <w:t>premise</w:t>
      </w:r>
      <w:r w:rsidR="00224F67">
        <w:rPr>
          <w:rFonts w:asciiTheme="majorHAnsi" w:hAnsiTheme="majorHAnsi"/>
        </w:rPr>
        <w:t>.</w:t>
      </w:r>
    </w:p>
    <w:p w:rsidR="00224F67" w:rsidRDefault="00224F67" w:rsidP="00AE6DA4">
      <w:pPr>
        <w:spacing w:after="0"/>
        <w:rPr>
          <w:rFonts w:asciiTheme="majorHAnsi" w:hAnsiTheme="majorHAnsi"/>
        </w:rPr>
      </w:pPr>
    </w:p>
    <w:p w:rsidR="00B4066D" w:rsidRPr="00224F67" w:rsidRDefault="00B4066D" w:rsidP="00AE6DA4">
      <w:pPr>
        <w:spacing w:after="0"/>
        <w:rPr>
          <w:rFonts w:asciiTheme="majorHAnsi" w:hAnsiTheme="majorHAnsi"/>
        </w:rPr>
      </w:pPr>
      <w:r>
        <w:rPr>
          <w:rFonts w:asciiTheme="majorHAnsi" w:hAnsiTheme="majorHAnsi"/>
        </w:rPr>
        <w:t>All companies reporting data for farm and ranch owners</w:t>
      </w:r>
      <w:r w:rsidR="00442824">
        <w:rPr>
          <w:rFonts w:asciiTheme="majorHAnsi" w:hAnsiTheme="majorHAnsi"/>
        </w:rPr>
        <w:t>’ policies</w:t>
      </w:r>
      <w:r>
        <w:rPr>
          <w:rFonts w:asciiTheme="majorHAnsi" w:hAnsiTheme="majorHAnsi"/>
        </w:rPr>
        <w:t xml:space="preserve"> must indicate o</w:t>
      </w:r>
      <w:r w:rsidR="00626A3B">
        <w:rPr>
          <w:rFonts w:asciiTheme="majorHAnsi" w:hAnsiTheme="majorHAnsi"/>
        </w:rPr>
        <w:t xml:space="preserve">n the </w:t>
      </w:r>
      <w:r w:rsidR="001A5E52" w:rsidRPr="001A5E52">
        <w:rPr>
          <w:rFonts w:asciiTheme="majorHAnsi" w:hAnsiTheme="majorHAnsi"/>
          <w:i/>
        </w:rPr>
        <w:t>Data Reporting Form</w:t>
      </w:r>
      <w:r w:rsidR="00F903A9">
        <w:rPr>
          <w:rFonts w:asciiTheme="majorHAnsi" w:hAnsiTheme="majorHAnsi"/>
        </w:rPr>
        <w:t xml:space="preserve"> </w:t>
      </w:r>
      <w:r w:rsidR="00626A3B">
        <w:rPr>
          <w:rFonts w:asciiTheme="majorHAnsi" w:hAnsiTheme="majorHAnsi"/>
        </w:rPr>
        <w:t xml:space="preserve">whether </w:t>
      </w:r>
      <w:r w:rsidR="006D07E3">
        <w:rPr>
          <w:rFonts w:asciiTheme="majorHAnsi" w:hAnsiTheme="majorHAnsi"/>
        </w:rPr>
        <w:t>it</w:t>
      </w:r>
      <w:r w:rsidR="00626A3B">
        <w:rPr>
          <w:rFonts w:asciiTheme="majorHAnsi" w:hAnsiTheme="majorHAnsi"/>
        </w:rPr>
        <w:t xml:space="preserve"> express</w:t>
      </w:r>
      <w:r w:rsidR="006D07E3">
        <w:rPr>
          <w:rFonts w:asciiTheme="majorHAnsi" w:hAnsiTheme="majorHAnsi"/>
        </w:rPr>
        <w:t>es</w:t>
      </w:r>
      <w:r w:rsidR="00626A3B">
        <w:rPr>
          <w:rFonts w:asciiTheme="majorHAnsi" w:hAnsiTheme="majorHAnsi"/>
        </w:rPr>
        <w:t xml:space="preserve"> the</w:t>
      </w:r>
      <w:r>
        <w:rPr>
          <w:rFonts w:asciiTheme="majorHAnsi" w:hAnsiTheme="majorHAnsi"/>
        </w:rPr>
        <w:t xml:space="preserve"> credit as a percentage of the total farm and ranch premium, or whether </w:t>
      </w:r>
      <w:r w:rsidR="006D07E3">
        <w:rPr>
          <w:rFonts w:asciiTheme="majorHAnsi" w:hAnsiTheme="majorHAnsi"/>
        </w:rPr>
        <w:t>it</w:t>
      </w:r>
      <w:r w:rsidR="00626A3B">
        <w:rPr>
          <w:rFonts w:asciiTheme="majorHAnsi" w:hAnsiTheme="majorHAnsi"/>
        </w:rPr>
        <w:t xml:space="preserve"> express</w:t>
      </w:r>
      <w:r w:rsidR="006D07E3">
        <w:rPr>
          <w:rFonts w:asciiTheme="majorHAnsi" w:hAnsiTheme="majorHAnsi"/>
        </w:rPr>
        <w:t>es</w:t>
      </w:r>
      <w:r w:rsidR="00626A3B">
        <w:rPr>
          <w:rFonts w:asciiTheme="majorHAnsi" w:hAnsiTheme="majorHAnsi"/>
        </w:rPr>
        <w:t xml:space="preserve"> the credit as a percentage of the </w:t>
      </w:r>
      <w:r w:rsidR="006D07E3">
        <w:rPr>
          <w:rFonts w:asciiTheme="majorHAnsi" w:hAnsiTheme="majorHAnsi"/>
        </w:rPr>
        <w:t>residence premi</w:t>
      </w:r>
      <w:r w:rsidR="00C24499">
        <w:rPr>
          <w:rFonts w:asciiTheme="majorHAnsi" w:hAnsiTheme="majorHAnsi"/>
        </w:rPr>
        <w:t>se</w:t>
      </w:r>
      <w:r w:rsidR="00626A3B">
        <w:rPr>
          <w:rFonts w:asciiTheme="majorHAnsi" w:hAnsiTheme="majorHAnsi"/>
        </w:rPr>
        <w:t xml:space="preserve"> premium only.</w:t>
      </w:r>
    </w:p>
    <w:p w:rsidR="00445A9A" w:rsidRDefault="00445A9A" w:rsidP="00AE6DA4">
      <w:pPr>
        <w:spacing w:after="0"/>
        <w:rPr>
          <w:rFonts w:asciiTheme="majorHAnsi" w:hAnsiTheme="majorHAnsi"/>
        </w:rPr>
      </w:pPr>
    </w:p>
    <w:p w:rsidR="00DD6EB0" w:rsidRPr="003870E5" w:rsidRDefault="003870E5" w:rsidP="00AE6DA4">
      <w:pPr>
        <w:spacing w:after="0"/>
        <w:rPr>
          <w:rFonts w:asciiTheme="majorHAnsi" w:hAnsiTheme="majorHAnsi"/>
          <w:u w:val="single"/>
        </w:rPr>
      </w:pPr>
      <w:r w:rsidRPr="003870E5">
        <w:rPr>
          <w:rFonts w:asciiTheme="majorHAnsi" w:hAnsiTheme="majorHAnsi"/>
          <w:u w:val="single"/>
        </w:rPr>
        <w:t>Completing the Data Reporting Form</w:t>
      </w:r>
    </w:p>
    <w:p w:rsidR="00F915E4" w:rsidRDefault="009953A0" w:rsidP="00AE6DA4">
      <w:pPr>
        <w:spacing w:after="0"/>
        <w:rPr>
          <w:rFonts w:asciiTheme="majorHAnsi" w:hAnsiTheme="majorHAnsi"/>
        </w:rPr>
      </w:pPr>
      <w:r w:rsidRPr="008142EB">
        <w:rPr>
          <w:rFonts w:asciiTheme="majorHAnsi" w:hAnsiTheme="majorHAnsi"/>
        </w:rPr>
        <w:t>For each company</w:t>
      </w:r>
      <w:r w:rsidR="00C45B12">
        <w:rPr>
          <w:rFonts w:asciiTheme="majorHAnsi" w:hAnsiTheme="majorHAnsi"/>
        </w:rPr>
        <w:t xml:space="preserve"> and</w:t>
      </w:r>
      <w:r w:rsidRPr="008142EB">
        <w:rPr>
          <w:rFonts w:asciiTheme="majorHAnsi" w:hAnsiTheme="majorHAnsi"/>
        </w:rPr>
        <w:t xml:space="preserve"> each </w:t>
      </w:r>
      <w:proofErr w:type="spellStart"/>
      <w:r w:rsidRPr="008142EB">
        <w:rPr>
          <w:rFonts w:asciiTheme="majorHAnsi" w:hAnsiTheme="majorHAnsi"/>
        </w:rPr>
        <w:t>subline</w:t>
      </w:r>
      <w:proofErr w:type="spellEnd"/>
      <w:r w:rsidRPr="008142EB">
        <w:rPr>
          <w:rFonts w:asciiTheme="majorHAnsi" w:hAnsiTheme="majorHAnsi"/>
        </w:rPr>
        <w:t xml:space="preserve"> of insurance </w:t>
      </w:r>
      <w:r w:rsidR="008142EB" w:rsidRPr="008142EB">
        <w:rPr>
          <w:rFonts w:asciiTheme="majorHAnsi" w:hAnsiTheme="majorHAnsi"/>
        </w:rPr>
        <w:t xml:space="preserve">listed on the </w:t>
      </w:r>
      <w:r w:rsidR="00821838">
        <w:rPr>
          <w:rFonts w:asciiTheme="majorHAnsi" w:hAnsiTheme="majorHAnsi"/>
          <w:i/>
        </w:rPr>
        <w:t>T</w:t>
      </w:r>
      <w:r w:rsidR="00655411" w:rsidRPr="00655411">
        <w:rPr>
          <w:rFonts w:asciiTheme="majorHAnsi" w:hAnsiTheme="majorHAnsi"/>
          <w:i/>
        </w:rPr>
        <w:t xml:space="preserve">ransmittal </w:t>
      </w:r>
      <w:r w:rsidR="00821838">
        <w:rPr>
          <w:rFonts w:asciiTheme="majorHAnsi" w:hAnsiTheme="majorHAnsi"/>
          <w:i/>
        </w:rPr>
        <w:t>F</w:t>
      </w:r>
      <w:r w:rsidR="00655411" w:rsidRPr="00655411">
        <w:rPr>
          <w:rFonts w:asciiTheme="majorHAnsi" w:hAnsiTheme="majorHAnsi"/>
          <w:i/>
        </w:rPr>
        <w:t>orm</w:t>
      </w:r>
      <w:r w:rsidR="008142EB" w:rsidRPr="008142EB">
        <w:rPr>
          <w:rFonts w:asciiTheme="majorHAnsi" w:hAnsiTheme="majorHAnsi"/>
        </w:rPr>
        <w:t xml:space="preserve"> </w:t>
      </w:r>
      <w:r w:rsidR="003870E5">
        <w:rPr>
          <w:rFonts w:asciiTheme="majorHAnsi" w:hAnsiTheme="majorHAnsi"/>
        </w:rPr>
        <w:t>for</w:t>
      </w:r>
      <w:r w:rsidR="008142EB" w:rsidRPr="008142EB">
        <w:rPr>
          <w:rFonts w:asciiTheme="majorHAnsi" w:hAnsiTheme="majorHAnsi"/>
        </w:rPr>
        <w:t xml:space="preserve"> </w:t>
      </w:r>
      <w:r w:rsidRPr="008142EB">
        <w:rPr>
          <w:rFonts w:asciiTheme="majorHAnsi" w:hAnsiTheme="majorHAnsi"/>
        </w:rPr>
        <w:t>which the company has checked “</w:t>
      </w:r>
      <w:r w:rsidR="00293D37">
        <w:rPr>
          <w:rFonts w:asciiTheme="majorHAnsi" w:hAnsiTheme="majorHAnsi"/>
        </w:rPr>
        <w:t>Y</w:t>
      </w:r>
      <w:r w:rsidRPr="008142EB">
        <w:rPr>
          <w:rFonts w:asciiTheme="majorHAnsi" w:hAnsiTheme="majorHAnsi"/>
        </w:rPr>
        <w:t>es</w:t>
      </w:r>
      <w:r w:rsidR="008142EB" w:rsidRPr="008142EB">
        <w:rPr>
          <w:rFonts w:asciiTheme="majorHAnsi" w:hAnsiTheme="majorHAnsi"/>
        </w:rPr>
        <w:t>,</w:t>
      </w:r>
      <w:r w:rsidRPr="008142EB">
        <w:rPr>
          <w:rFonts w:asciiTheme="majorHAnsi" w:hAnsiTheme="majorHAnsi"/>
        </w:rPr>
        <w:t>” complete</w:t>
      </w:r>
      <w:r w:rsidR="008142EB" w:rsidRPr="008142EB">
        <w:rPr>
          <w:rFonts w:asciiTheme="majorHAnsi" w:hAnsiTheme="majorHAnsi"/>
        </w:rPr>
        <w:t xml:space="preserve"> the corresponding information in the </w:t>
      </w:r>
      <w:r w:rsidR="00492D66" w:rsidRPr="00492D66">
        <w:rPr>
          <w:rFonts w:asciiTheme="majorHAnsi" w:hAnsiTheme="majorHAnsi"/>
          <w:i/>
        </w:rPr>
        <w:t>D</w:t>
      </w:r>
      <w:r w:rsidR="008142EB" w:rsidRPr="00492D66">
        <w:rPr>
          <w:rFonts w:asciiTheme="majorHAnsi" w:hAnsiTheme="majorHAnsi"/>
          <w:i/>
        </w:rPr>
        <w:t xml:space="preserve">ata </w:t>
      </w:r>
      <w:r w:rsidR="00492D66" w:rsidRPr="00492D66">
        <w:rPr>
          <w:rFonts w:asciiTheme="majorHAnsi" w:hAnsiTheme="majorHAnsi"/>
          <w:i/>
        </w:rPr>
        <w:t>R</w:t>
      </w:r>
      <w:r w:rsidR="008142EB" w:rsidRPr="00492D66">
        <w:rPr>
          <w:rFonts w:asciiTheme="majorHAnsi" w:hAnsiTheme="majorHAnsi"/>
          <w:i/>
        </w:rPr>
        <w:t>eport</w:t>
      </w:r>
      <w:r w:rsidR="003870E5" w:rsidRPr="00492D66">
        <w:rPr>
          <w:rFonts w:asciiTheme="majorHAnsi" w:hAnsiTheme="majorHAnsi"/>
          <w:i/>
        </w:rPr>
        <w:t>ing</w:t>
      </w:r>
      <w:r w:rsidR="008142EB" w:rsidRPr="00492D66">
        <w:rPr>
          <w:rFonts w:asciiTheme="majorHAnsi" w:hAnsiTheme="majorHAnsi"/>
          <w:i/>
        </w:rPr>
        <w:t xml:space="preserve"> </w:t>
      </w:r>
      <w:r w:rsidR="00492D66" w:rsidRPr="00492D66">
        <w:rPr>
          <w:rFonts w:asciiTheme="majorHAnsi" w:hAnsiTheme="majorHAnsi"/>
          <w:i/>
        </w:rPr>
        <w:t>F</w:t>
      </w:r>
      <w:r w:rsidR="008142EB" w:rsidRPr="00492D66">
        <w:rPr>
          <w:rFonts w:asciiTheme="majorHAnsi" w:hAnsiTheme="majorHAnsi"/>
          <w:i/>
        </w:rPr>
        <w:t>orm</w:t>
      </w:r>
      <w:r w:rsidR="008142EB" w:rsidRPr="008142EB">
        <w:rPr>
          <w:rFonts w:asciiTheme="majorHAnsi" w:hAnsiTheme="majorHAnsi"/>
        </w:rPr>
        <w:t>.</w:t>
      </w:r>
    </w:p>
    <w:p w:rsidR="008142EB" w:rsidRDefault="008142EB" w:rsidP="00AE6DA4">
      <w:pPr>
        <w:spacing w:after="0"/>
        <w:rPr>
          <w:rFonts w:asciiTheme="majorHAnsi" w:hAnsiTheme="majorHAnsi"/>
        </w:rPr>
      </w:pPr>
    </w:p>
    <w:p w:rsidR="001E7792" w:rsidRDefault="008142EB">
      <w:pPr>
        <w:pStyle w:val="ListParagraph"/>
        <w:numPr>
          <w:ilvl w:val="0"/>
          <w:numId w:val="2"/>
        </w:numPr>
        <w:spacing w:after="0"/>
        <w:ind w:left="851"/>
        <w:rPr>
          <w:rFonts w:asciiTheme="majorHAnsi" w:hAnsiTheme="majorHAnsi"/>
        </w:rPr>
      </w:pPr>
      <w:r w:rsidRPr="008142EB">
        <w:rPr>
          <w:rFonts w:asciiTheme="majorHAnsi" w:hAnsiTheme="majorHAnsi"/>
          <w:u w:val="single"/>
        </w:rPr>
        <w:t>Co NAIC #</w:t>
      </w:r>
      <w:r w:rsidR="004A7E29" w:rsidRPr="004A7E29">
        <w:rPr>
          <w:rFonts w:asciiTheme="majorHAnsi" w:hAnsiTheme="majorHAnsi"/>
          <w:u w:val="single"/>
        </w:rPr>
        <w:t>:</w:t>
      </w:r>
      <w:r>
        <w:rPr>
          <w:rFonts w:asciiTheme="majorHAnsi" w:hAnsiTheme="majorHAnsi"/>
        </w:rPr>
        <w:t xml:space="preserve">  Provide the NAIC number for the company.  This should match the NAIC number reported on the </w:t>
      </w:r>
      <w:r w:rsidR="00F16839" w:rsidRPr="00F16839">
        <w:rPr>
          <w:rFonts w:asciiTheme="majorHAnsi" w:hAnsiTheme="majorHAnsi"/>
          <w:i/>
        </w:rPr>
        <w:t>T</w:t>
      </w:r>
      <w:r w:rsidRPr="00F16839">
        <w:rPr>
          <w:rFonts w:asciiTheme="majorHAnsi" w:hAnsiTheme="majorHAnsi"/>
          <w:i/>
        </w:rPr>
        <w:t xml:space="preserve">ransmittal </w:t>
      </w:r>
      <w:r w:rsidR="00F16839" w:rsidRPr="00F16839">
        <w:rPr>
          <w:rFonts w:asciiTheme="majorHAnsi" w:hAnsiTheme="majorHAnsi"/>
          <w:i/>
        </w:rPr>
        <w:t>F</w:t>
      </w:r>
      <w:r w:rsidRPr="00F16839">
        <w:rPr>
          <w:rFonts w:asciiTheme="majorHAnsi" w:hAnsiTheme="majorHAnsi"/>
          <w:i/>
        </w:rPr>
        <w:t>orm</w:t>
      </w:r>
      <w:r>
        <w:rPr>
          <w:rFonts w:asciiTheme="majorHAnsi" w:hAnsiTheme="majorHAnsi"/>
        </w:rPr>
        <w:t>.</w:t>
      </w:r>
    </w:p>
    <w:p w:rsidR="001E7792" w:rsidRDefault="001E7792">
      <w:pPr>
        <w:pStyle w:val="ListParagraph"/>
        <w:spacing w:after="0"/>
        <w:ind w:left="851"/>
        <w:rPr>
          <w:rFonts w:asciiTheme="majorHAnsi" w:hAnsiTheme="majorHAnsi"/>
        </w:rPr>
      </w:pPr>
    </w:p>
    <w:p w:rsidR="001E7792" w:rsidRDefault="008627FD">
      <w:pPr>
        <w:pStyle w:val="ListParagraph"/>
        <w:numPr>
          <w:ilvl w:val="0"/>
          <w:numId w:val="2"/>
        </w:numPr>
        <w:spacing w:after="0"/>
        <w:ind w:left="851"/>
        <w:rPr>
          <w:rFonts w:asciiTheme="majorHAnsi" w:hAnsiTheme="majorHAnsi"/>
          <w:u w:val="single"/>
        </w:rPr>
      </w:pPr>
      <w:proofErr w:type="spellStart"/>
      <w:r>
        <w:rPr>
          <w:rFonts w:asciiTheme="majorHAnsi" w:hAnsiTheme="majorHAnsi"/>
          <w:u w:val="single"/>
        </w:rPr>
        <w:t>Subl</w:t>
      </w:r>
      <w:r w:rsidR="008142EB" w:rsidRPr="008142EB">
        <w:rPr>
          <w:rFonts w:asciiTheme="majorHAnsi" w:hAnsiTheme="majorHAnsi"/>
          <w:u w:val="single"/>
        </w:rPr>
        <w:t>ine</w:t>
      </w:r>
      <w:proofErr w:type="spellEnd"/>
      <w:r w:rsidR="008142EB" w:rsidRPr="008142EB">
        <w:rPr>
          <w:rFonts w:asciiTheme="majorHAnsi" w:hAnsiTheme="majorHAnsi"/>
          <w:u w:val="single"/>
        </w:rPr>
        <w:t xml:space="preserve"> of Business:</w:t>
      </w:r>
      <w:r w:rsidR="008142EB" w:rsidRPr="008142EB">
        <w:rPr>
          <w:rFonts w:asciiTheme="majorHAnsi" w:hAnsiTheme="majorHAnsi"/>
        </w:rPr>
        <w:t xml:space="preserve">  Th</w:t>
      </w:r>
      <w:r w:rsidR="008142EB">
        <w:rPr>
          <w:rFonts w:asciiTheme="majorHAnsi" w:hAnsiTheme="majorHAnsi"/>
        </w:rPr>
        <w:t xml:space="preserve">is field has been </w:t>
      </w:r>
      <w:proofErr w:type="spellStart"/>
      <w:r w:rsidR="008142EB">
        <w:rPr>
          <w:rFonts w:asciiTheme="majorHAnsi" w:hAnsiTheme="majorHAnsi"/>
        </w:rPr>
        <w:t>prepopulat</w:t>
      </w:r>
      <w:r w:rsidR="00C45B12">
        <w:rPr>
          <w:rFonts w:asciiTheme="majorHAnsi" w:hAnsiTheme="majorHAnsi"/>
        </w:rPr>
        <w:t>ed</w:t>
      </w:r>
      <w:proofErr w:type="spellEnd"/>
      <w:r w:rsidR="008142EB">
        <w:rPr>
          <w:rFonts w:asciiTheme="majorHAnsi" w:hAnsiTheme="majorHAnsi"/>
        </w:rPr>
        <w:t xml:space="preserve"> with </w:t>
      </w:r>
      <w:r w:rsidR="00C45B12">
        <w:rPr>
          <w:rFonts w:asciiTheme="majorHAnsi" w:hAnsiTheme="majorHAnsi"/>
        </w:rPr>
        <w:t>each</w:t>
      </w:r>
      <w:r w:rsidR="008142EB">
        <w:rPr>
          <w:rFonts w:asciiTheme="majorHAnsi" w:hAnsiTheme="majorHAnsi"/>
        </w:rPr>
        <w:t xml:space="preserve"> of the five listed lines of business (“HO,” “TEN,” “CON,” “DWLG,” and “FRO”).</w:t>
      </w:r>
    </w:p>
    <w:p w:rsidR="001E7792" w:rsidRDefault="001E7792">
      <w:pPr>
        <w:pStyle w:val="ListParagraph"/>
        <w:ind w:left="851"/>
        <w:rPr>
          <w:rFonts w:asciiTheme="majorHAnsi" w:hAnsiTheme="majorHAnsi"/>
          <w:u w:val="single"/>
        </w:rPr>
      </w:pPr>
    </w:p>
    <w:p w:rsidR="001E7792" w:rsidRDefault="008627FD">
      <w:pPr>
        <w:pStyle w:val="ListParagraph"/>
        <w:numPr>
          <w:ilvl w:val="0"/>
          <w:numId w:val="2"/>
        </w:numPr>
        <w:spacing w:after="0"/>
        <w:ind w:left="851"/>
        <w:rPr>
          <w:rFonts w:asciiTheme="majorHAnsi" w:hAnsiTheme="majorHAnsi"/>
          <w:u w:val="single"/>
        </w:rPr>
      </w:pPr>
      <w:r w:rsidRPr="00364716">
        <w:rPr>
          <w:rFonts w:asciiTheme="majorHAnsi" w:hAnsiTheme="majorHAnsi"/>
          <w:u w:val="single"/>
        </w:rPr>
        <w:t xml:space="preserve">Average Credit </w:t>
      </w:r>
      <w:proofErr w:type="gramStart"/>
      <w:r w:rsidRPr="00364716">
        <w:rPr>
          <w:rFonts w:asciiTheme="majorHAnsi" w:hAnsiTheme="majorHAnsi"/>
          <w:u w:val="single"/>
        </w:rPr>
        <w:t>For</w:t>
      </w:r>
      <w:proofErr w:type="gramEnd"/>
      <w:r w:rsidRPr="00364716">
        <w:rPr>
          <w:rFonts w:asciiTheme="majorHAnsi" w:hAnsiTheme="majorHAnsi"/>
          <w:u w:val="single"/>
        </w:rPr>
        <w:t xml:space="preserve"> Excluding Windstorm and Hail Coverage:</w:t>
      </w:r>
      <w:r w:rsidRPr="00364716">
        <w:rPr>
          <w:rFonts w:asciiTheme="majorHAnsi" w:hAnsiTheme="majorHAnsi"/>
        </w:rPr>
        <w:t xml:space="preserve">  For the given company and given </w:t>
      </w:r>
      <w:proofErr w:type="spellStart"/>
      <w:r w:rsidRPr="00364716">
        <w:rPr>
          <w:rFonts w:asciiTheme="majorHAnsi" w:hAnsiTheme="majorHAnsi"/>
        </w:rPr>
        <w:t>subline</w:t>
      </w:r>
      <w:proofErr w:type="spellEnd"/>
      <w:r w:rsidR="001C7971">
        <w:rPr>
          <w:rFonts w:asciiTheme="majorHAnsi" w:hAnsiTheme="majorHAnsi"/>
        </w:rPr>
        <w:t>,</w:t>
      </w:r>
      <w:r w:rsidRPr="00364716">
        <w:rPr>
          <w:rFonts w:asciiTheme="majorHAnsi" w:hAnsiTheme="majorHAnsi"/>
        </w:rPr>
        <w:t xml:space="preserve"> provide the company’s current average credit for excluding windstorm and hail coverage in the catastrophe area.  Report this </w:t>
      </w:r>
      <w:r w:rsidR="001C7971">
        <w:rPr>
          <w:rFonts w:asciiTheme="majorHAnsi" w:hAnsiTheme="majorHAnsi"/>
        </w:rPr>
        <w:t xml:space="preserve">information </w:t>
      </w:r>
      <w:r w:rsidRPr="00364716">
        <w:rPr>
          <w:rFonts w:asciiTheme="majorHAnsi" w:hAnsiTheme="majorHAnsi"/>
        </w:rPr>
        <w:t xml:space="preserve">based on the company’s rates on file as of October 1, 2013.  Report this amount as a </w:t>
      </w:r>
      <w:r w:rsidRPr="00364716">
        <w:rPr>
          <w:rFonts w:asciiTheme="majorHAnsi" w:hAnsiTheme="majorHAnsi"/>
          <w:i/>
        </w:rPr>
        <w:t>percentage of the total policy premium</w:t>
      </w:r>
      <w:r w:rsidR="00711557">
        <w:rPr>
          <w:rFonts w:asciiTheme="majorHAnsi" w:hAnsiTheme="majorHAnsi"/>
          <w:i/>
        </w:rPr>
        <w:t>, including policy fees,</w:t>
      </w:r>
      <w:r w:rsidRPr="00364716">
        <w:rPr>
          <w:rFonts w:asciiTheme="majorHAnsi" w:hAnsiTheme="majorHAnsi"/>
          <w:i/>
        </w:rPr>
        <w:t xml:space="preserve"> for the </w:t>
      </w:r>
      <w:proofErr w:type="spellStart"/>
      <w:r w:rsidRPr="00364716">
        <w:rPr>
          <w:rFonts w:asciiTheme="majorHAnsi" w:hAnsiTheme="majorHAnsi"/>
          <w:i/>
        </w:rPr>
        <w:t>subline</w:t>
      </w:r>
      <w:proofErr w:type="spellEnd"/>
      <w:r w:rsidRPr="00364716">
        <w:rPr>
          <w:rFonts w:asciiTheme="majorHAnsi" w:hAnsiTheme="majorHAnsi"/>
          <w:i/>
        </w:rPr>
        <w:t xml:space="preserve"> of insurance.</w:t>
      </w:r>
      <w:r w:rsidRPr="00364716">
        <w:rPr>
          <w:rFonts w:asciiTheme="majorHAnsi" w:hAnsiTheme="majorHAnsi"/>
        </w:rPr>
        <w:t xml:space="preserve">  For example, </w:t>
      </w:r>
      <w:r w:rsidR="00451B4A" w:rsidRPr="00364716">
        <w:rPr>
          <w:rFonts w:asciiTheme="majorHAnsi" w:hAnsiTheme="majorHAnsi"/>
        </w:rPr>
        <w:t xml:space="preserve">if the company offers a uniform windstorm exclusion credit of 40 percent for all </w:t>
      </w:r>
      <w:r w:rsidR="00364716" w:rsidRPr="00364716">
        <w:rPr>
          <w:rFonts w:asciiTheme="majorHAnsi" w:hAnsiTheme="majorHAnsi"/>
        </w:rPr>
        <w:t>renters’</w:t>
      </w:r>
      <w:r w:rsidR="00451B4A" w:rsidRPr="00364716">
        <w:rPr>
          <w:rFonts w:asciiTheme="majorHAnsi" w:hAnsiTheme="majorHAnsi"/>
        </w:rPr>
        <w:t xml:space="preserve"> policies</w:t>
      </w:r>
      <w:r w:rsidR="00364716">
        <w:rPr>
          <w:rFonts w:asciiTheme="majorHAnsi" w:hAnsiTheme="majorHAnsi"/>
        </w:rPr>
        <w:t xml:space="preserve"> written in the catastrophe area</w:t>
      </w:r>
      <w:r w:rsidR="00451B4A" w:rsidRPr="00364716">
        <w:rPr>
          <w:rFonts w:asciiTheme="majorHAnsi" w:hAnsiTheme="majorHAnsi"/>
        </w:rPr>
        <w:t xml:space="preserve">, report “40%” for that company for </w:t>
      </w:r>
      <w:proofErr w:type="spellStart"/>
      <w:r w:rsidR="00451B4A" w:rsidRPr="00364716">
        <w:rPr>
          <w:rFonts w:asciiTheme="majorHAnsi" w:hAnsiTheme="majorHAnsi"/>
        </w:rPr>
        <w:t>subline</w:t>
      </w:r>
      <w:proofErr w:type="spellEnd"/>
      <w:r w:rsidR="00451B4A" w:rsidRPr="00364716">
        <w:rPr>
          <w:rFonts w:asciiTheme="majorHAnsi" w:hAnsiTheme="majorHAnsi"/>
        </w:rPr>
        <w:t xml:space="preserve"> “TEN.”</w:t>
      </w:r>
    </w:p>
    <w:p w:rsidR="00711557" w:rsidRPr="00711557" w:rsidRDefault="00711557" w:rsidP="00711557">
      <w:pPr>
        <w:pStyle w:val="ListParagraph"/>
        <w:spacing w:after="0"/>
        <w:rPr>
          <w:rFonts w:asciiTheme="majorHAnsi" w:hAnsiTheme="majorHAnsi"/>
          <w:u w:val="single"/>
        </w:rPr>
      </w:pPr>
    </w:p>
    <w:p w:rsidR="004A7E29" w:rsidRDefault="00711557" w:rsidP="004A7E29">
      <w:pPr>
        <w:spacing w:after="0"/>
        <w:ind w:left="851"/>
        <w:rPr>
          <w:rFonts w:asciiTheme="majorHAnsi" w:hAnsiTheme="majorHAnsi"/>
        </w:rPr>
      </w:pPr>
      <w:r w:rsidRPr="00711557">
        <w:rPr>
          <w:rFonts w:asciiTheme="majorHAnsi" w:hAnsiTheme="majorHAnsi"/>
        </w:rPr>
        <w:t xml:space="preserve">If </w:t>
      </w:r>
      <w:r w:rsidR="001C7971">
        <w:rPr>
          <w:rFonts w:asciiTheme="majorHAnsi" w:hAnsiTheme="majorHAnsi"/>
        </w:rPr>
        <w:t>the</w:t>
      </w:r>
      <w:r w:rsidR="001C7971" w:rsidRPr="00711557">
        <w:rPr>
          <w:rFonts w:asciiTheme="majorHAnsi" w:hAnsiTheme="majorHAnsi"/>
        </w:rPr>
        <w:t xml:space="preserve"> </w:t>
      </w:r>
      <w:r w:rsidR="003870E5" w:rsidRPr="00711557">
        <w:rPr>
          <w:rFonts w:asciiTheme="majorHAnsi" w:hAnsiTheme="majorHAnsi"/>
        </w:rPr>
        <w:t>compan</w:t>
      </w:r>
      <w:r w:rsidRPr="00711557">
        <w:rPr>
          <w:rFonts w:asciiTheme="majorHAnsi" w:hAnsiTheme="majorHAnsi"/>
        </w:rPr>
        <w:t>y</w:t>
      </w:r>
      <w:r w:rsidR="003870E5" w:rsidRPr="00711557">
        <w:rPr>
          <w:rFonts w:asciiTheme="majorHAnsi" w:hAnsiTheme="majorHAnsi"/>
        </w:rPr>
        <w:t xml:space="preserve"> use</w:t>
      </w:r>
      <w:r w:rsidRPr="00711557">
        <w:rPr>
          <w:rFonts w:asciiTheme="majorHAnsi" w:hAnsiTheme="majorHAnsi"/>
        </w:rPr>
        <w:t>s</w:t>
      </w:r>
      <w:r w:rsidR="003870E5" w:rsidRPr="00711557">
        <w:rPr>
          <w:rFonts w:asciiTheme="majorHAnsi" w:hAnsiTheme="majorHAnsi"/>
        </w:rPr>
        <w:t xml:space="preserve"> a rating </w:t>
      </w:r>
      <w:r>
        <w:rPr>
          <w:rFonts w:asciiTheme="majorHAnsi" w:hAnsiTheme="majorHAnsi"/>
        </w:rPr>
        <w:t>algorithm</w:t>
      </w:r>
      <w:r w:rsidR="003870E5" w:rsidRPr="00711557">
        <w:rPr>
          <w:rFonts w:asciiTheme="majorHAnsi" w:hAnsiTheme="majorHAnsi"/>
        </w:rPr>
        <w:t xml:space="preserve"> that determine</w:t>
      </w:r>
      <w:r w:rsidRPr="00711557">
        <w:rPr>
          <w:rFonts w:asciiTheme="majorHAnsi" w:hAnsiTheme="majorHAnsi"/>
        </w:rPr>
        <w:t>s</w:t>
      </w:r>
      <w:r w:rsidR="003870E5" w:rsidRPr="00711557">
        <w:rPr>
          <w:rFonts w:asciiTheme="majorHAnsi" w:hAnsiTheme="majorHAnsi"/>
        </w:rPr>
        <w:t xml:space="preserve"> the final premium by first calculating partial premiums separately by peril</w:t>
      </w:r>
      <w:r w:rsidRPr="00711557">
        <w:rPr>
          <w:rFonts w:asciiTheme="majorHAnsi" w:hAnsiTheme="majorHAnsi"/>
        </w:rPr>
        <w:t xml:space="preserve">, </w:t>
      </w:r>
      <w:r w:rsidR="00393E1C">
        <w:rPr>
          <w:rFonts w:asciiTheme="majorHAnsi" w:hAnsiTheme="majorHAnsi"/>
        </w:rPr>
        <w:t xml:space="preserve">then </w:t>
      </w:r>
      <w:r w:rsidRPr="00711557">
        <w:rPr>
          <w:rFonts w:asciiTheme="majorHAnsi" w:hAnsiTheme="majorHAnsi"/>
        </w:rPr>
        <w:t xml:space="preserve">provide the </w:t>
      </w:r>
      <w:r>
        <w:rPr>
          <w:rFonts w:asciiTheme="majorHAnsi" w:hAnsiTheme="majorHAnsi"/>
          <w:u w:val="single"/>
        </w:rPr>
        <w:t>A</w:t>
      </w:r>
      <w:r w:rsidRPr="00711557">
        <w:rPr>
          <w:rFonts w:asciiTheme="majorHAnsi" w:hAnsiTheme="majorHAnsi"/>
          <w:u w:val="single"/>
        </w:rPr>
        <w:t xml:space="preserve">verage </w:t>
      </w:r>
      <w:r>
        <w:rPr>
          <w:rFonts w:asciiTheme="majorHAnsi" w:hAnsiTheme="majorHAnsi"/>
          <w:u w:val="single"/>
        </w:rPr>
        <w:t>C</w:t>
      </w:r>
      <w:r w:rsidRPr="00711557">
        <w:rPr>
          <w:rFonts w:asciiTheme="majorHAnsi" w:hAnsiTheme="majorHAnsi"/>
          <w:u w:val="single"/>
        </w:rPr>
        <w:t xml:space="preserve">redit for </w:t>
      </w:r>
      <w:r>
        <w:rPr>
          <w:rFonts w:asciiTheme="majorHAnsi" w:hAnsiTheme="majorHAnsi"/>
          <w:u w:val="single"/>
        </w:rPr>
        <w:t>E</w:t>
      </w:r>
      <w:r w:rsidRPr="00711557">
        <w:rPr>
          <w:rFonts w:asciiTheme="majorHAnsi" w:hAnsiTheme="majorHAnsi"/>
          <w:u w:val="single"/>
        </w:rPr>
        <w:t xml:space="preserve">xcluding </w:t>
      </w:r>
      <w:r>
        <w:rPr>
          <w:rFonts w:asciiTheme="majorHAnsi" w:hAnsiTheme="majorHAnsi"/>
          <w:u w:val="single"/>
        </w:rPr>
        <w:t>W</w:t>
      </w:r>
      <w:r w:rsidRPr="00711557">
        <w:rPr>
          <w:rFonts w:asciiTheme="majorHAnsi" w:hAnsiTheme="majorHAnsi"/>
          <w:u w:val="single"/>
        </w:rPr>
        <w:t xml:space="preserve">indstorm and </w:t>
      </w:r>
      <w:r>
        <w:rPr>
          <w:rFonts w:asciiTheme="majorHAnsi" w:hAnsiTheme="majorHAnsi"/>
          <w:u w:val="single"/>
        </w:rPr>
        <w:t>H</w:t>
      </w:r>
      <w:r w:rsidRPr="00711557">
        <w:rPr>
          <w:rFonts w:asciiTheme="majorHAnsi" w:hAnsiTheme="majorHAnsi"/>
          <w:u w:val="single"/>
        </w:rPr>
        <w:t xml:space="preserve">ail </w:t>
      </w:r>
      <w:r>
        <w:rPr>
          <w:rFonts w:asciiTheme="majorHAnsi" w:hAnsiTheme="majorHAnsi"/>
          <w:u w:val="single"/>
        </w:rPr>
        <w:t>C</w:t>
      </w:r>
      <w:r w:rsidRPr="00711557">
        <w:rPr>
          <w:rFonts w:asciiTheme="majorHAnsi" w:hAnsiTheme="majorHAnsi"/>
          <w:u w:val="single"/>
        </w:rPr>
        <w:t>overage</w:t>
      </w:r>
      <w:r w:rsidRPr="00711557">
        <w:rPr>
          <w:rFonts w:asciiTheme="majorHAnsi" w:hAnsiTheme="majorHAnsi"/>
        </w:rPr>
        <w:t xml:space="preserve"> as a percentage of the </w:t>
      </w:r>
      <w:r w:rsidRPr="00711557">
        <w:rPr>
          <w:rFonts w:asciiTheme="majorHAnsi" w:hAnsiTheme="majorHAnsi"/>
          <w:i/>
        </w:rPr>
        <w:t>total policy premium, including all perils, any expense loads</w:t>
      </w:r>
      <w:r w:rsidR="00393E1C">
        <w:rPr>
          <w:rFonts w:asciiTheme="majorHAnsi" w:hAnsiTheme="majorHAnsi"/>
          <w:i/>
        </w:rPr>
        <w:t>, and any policy fees</w:t>
      </w:r>
      <w:r w:rsidRPr="00711557">
        <w:rPr>
          <w:rFonts w:asciiTheme="majorHAnsi" w:hAnsiTheme="majorHAnsi"/>
        </w:rPr>
        <w:t xml:space="preserve">.  Do </w:t>
      </w:r>
      <w:r w:rsidRPr="00711557">
        <w:rPr>
          <w:rFonts w:asciiTheme="majorHAnsi" w:hAnsiTheme="majorHAnsi"/>
          <w:b/>
        </w:rPr>
        <w:t>not</w:t>
      </w:r>
      <w:r w:rsidRPr="00711557">
        <w:rPr>
          <w:rFonts w:asciiTheme="majorHAnsi" w:hAnsiTheme="majorHAnsi"/>
        </w:rPr>
        <w:t xml:space="preserve"> report the </w:t>
      </w:r>
      <w:r>
        <w:rPr>
          <w:rFonts w:asciiTheme="majorHAnsi" w:hAnsiTheme="majorHAnsi"/>
          <w:u w:val="single"/>
        </w:rPr>
        <w:t>A</w:t>
      </w:r>
      <w:r w:rsidRPr="00711557">
        <w:rPr>
          <w:rFonts w:asciiTheme="majorHAnsi" w:hAnsiTheme="majorHAnsi"/>
          <w:u w:val="single"/>
        </w:rPr>
        <w:t xml:space="preserve">verage </w:t>
      </w:r>
      <w:r>
        <w:rPr>
          <w:rFonts w:asciiTheme="majorHAnsi" w:hAnsiTheme="majorHAnsi"/>
          <w:u w:val="single"/>
        </w:rPr>
        <w:t>C</w:t>
      </w:r>
      <w:r w:rsidRPr="00711557">
        <w:rPr>
          <w:rFonts w:asciiTheme="majorHAnsi" w:hAnsiTheme="majorHAnsi"/>
          <w:u w:val="single"/>
        </w:rPr>
        <w:t xml:space="preserve">redit for </w:t>
      </w:r>
      <w:r>
        <w:rPr>
          <w:rFonts w:asciiTheme="majorHAnsi" w:hAnsiTheme="majorHAnsi"/>
          <w:u w:val="single"/>
        </w:rPr>
        <w:t>E</w:t>
      </w:r>
      <w:r w:rsidRPr="00711557">
        <w:rPr>
          <w:rFonts w:asciiTheme="majorHAnsi" w:hAnsiTheme="majorHAnsi"/>
          <w:u w:val="single"/>
        </w:rPr>
        <w:t xml:space="preserve">xcluding </w:t>
      </w:r>
      <w:r>
        <w:rPr>
          <w:rFonts w:asciiTheme="majorHAnsi" w:hAnsiTheme="majorHAnsi"/>
          <w:u w:val="single"/>
        </w:rPr>
        <w:t>W</w:t>
      </w:r>
      <w:r w:rsidRPr="00711557">
        <w:rPr>
          <w:rFonts w:asciiTheme="majorHAnsi" w:hAnsiTheme="majorHAnsi"/>
          <w:u w:val="single"/>
        </w:rPr>
        <w:t xml:space="preserve">indstorm and </w:t>
      </w:r>
      <w:r>
        <w:rPr>
          <w:rFonts w:asciiTheme="majorHAnsi" w:hAnsiTheme="majorHAnsi"/>
          <w:u w:val="single"/>
        </w:rPr>
        <w:t>H</w:t>
      </w:r>
      <w:r w:rsidRPr="00711557">
        <w:rPr>
          <w:rFonts w:asciiTheme="majorHAnsi" w:hAnsiTheme="majorHAnsi"/>
          <w:u w:val="single"/>
        </w:rPr>
        <w:t>ail</w:t>
      </w:r>
      <w:r w:rsidRPr="00711557">
        <w:rPr>
          <w:rFonts w:asciiTheme="majorHAnsi" w:hAnsiTheme="majorHAnsi"/>
        </w:rPr>
        <w:t xml:space="preserve"> as a percentage of the windstorm and hail peril premium.</w:t>
      </w:r>
      <w:r w:rsidR="00AA2E7D">
        <w:rPr>
          <w:rFonts w:asciiTheme="majorHAnsi" w:hAnsiTheme="majorHAnsi"/>
        </w:rPr>
        <w:t xml:space="preserve">  </w:t>
      </w:r>
    </w:p>
    <w:p w:rsidR="007E52B7" w:rsidRDefault="007E52B7">
      <w:pPr>
        <w:spacing w:after="0"/>
        <w:ind w:left="360"/>
        <w:rPr>
          <w:rFonts w:asciiTheme="majorHAnsi" w:hAnsiTheme="majorHAnsi"/>
          <w:u w:val="single"/>
        </w:rPr>
      </w:pPr>
    </w:p>
    <w:p w:rsidR="004A7E29" w:rsidRPr="004A7E29" w:rsidRDefault="004A7E29" w:rsidP="004A7E29">
      <w:pPr>
        <w:pStyle w:val="ListParagraph"/>
        <w:spacing w:after="0"/>
        <w:ind w:left="851"/>
        <w:rPr>
          <w:rFonts w:asciiTheme="majorHAnsi" w:hAnsiTheme="majorHAnsi"/>
          <w:b/>
        </w:rPr>
      </w:pPr>
      <w:r w:rsidRPr="004A7E29">
        <w:rPr>
          <w:rFonts w:asciiTheme="majorHAnsi" w:hAnsiTheme="majorHAnsi"/>
        </w:rPr>
        <w:t xml:space="preserve">Determine the average windstorm, hurricane, and hail credit based only on policies </w:t>
      </w:r>
      <w:r w:rsidRPr="004A7E29">
        <w:rPr>
          <w:rFonts w:asciiTheme="majorHAnsi" w:hAnsiTheme="majorHAnsi"/>
          <w:b/>
        </w:rPr>
        <w:t>where the company currently</w:t>
      </w:r>
      <w:r w:rsidRPr="004A7E29">
        <w:rPr>
          <w:rFonts w:asciiTheme="majorHAnsi" w:hAnsiTheme="majorHAnsi"/>
        </w:rPr>
        <w:t xml:space="preserve"> </w:t>
      </w:r>
      <w:r w:rsidRPr="004A7E29">
        <w:rPr>
          <w:rFonts w:asciiTheme="majorHAnsi" w:hAnsiTheme="majorHAnsi"/>
          <w:b/>
        </w:rPr>
        <w:t>provides windstorm and hail coverage</w:t>
      </w:r>
      <w:r w:rsidRPr="004A7E29">
        <w:rPr>
          <w:rFonts w:asciiTheme="majorHAnsi" w:hAnsiTheme="majorHAnsi"/>
        </w:rPr>
        <w:t xml:space="preserve"> in the catastrophe area.  For example, if the company’s windstorm and hail exclusion credits vary based only on geographic territory, the company’s average credit for excluding windstorm and hail coverage should be calculated based on the distribution of premiums by territory </w:t>
      </w:r>
      <w:r w:rsidRPr="004A7E29">
        <w:rPr>
          <w:rFonts w:asciiTheme="majorHAnsi" w:hAnsiTheme="majorHAnsi"/>
          <w:b/>
        </w:rPr>
        <w:t>for policies where the company currently provides windstorm and hail coverage.</w:t>
      </w:r>
    </w:p>
    <w:p w:rsidR="00380FE9" w:rsidRDefault="00380FE9" w:rsidP="00364716">
      <w:pPr>
        <w:pStyle w:val="ListParagraph"/>
        <w:spacing w:after="0"/>
        <w:ind w:left="360"/>
        <w:rPr>
          <w:rFonts w:asciiTheme="majorHAnsi" w:hAnsiTheme="majorHAnsi"/>
          <w:b/>
          <w:i/>
        </w:rPr>
      </w:pPr>
    </w:p>
    <w:p w:rsidR="004A7E29" w:rsidRDefault="00380FE9" w:rsidP="004A7E29">
      <w:pPr>
        <w:pStyle w:val="ListParagraph"/>
        <w:numPr>
          <w:ilvl w:val="0"/>
          <w:numId w:val="2"/>
        </w:numPr>
        <w:spacing w:after="0"/>
        <w:ind w:left="810"/>
        <w:rPr>
          <w:rFonts w:asciiTheme="majorHAnsi" w:hAnsiTheme="majorHAnsi"/>
        </w:rPr>
      </w:pPr>
      <w:r w:rsidRPr="00156CD9">
        <w:rPr>
          <w:rFonts w:asciiTheme="majorHAnsi" w:hAnsiTheme="majorHAnsi"/>
          <w:u w:val="single"/>
        </w:rPr>
        <w:t xml:space="preserve">Total Premium on Policies Used to Calculate the Average </w:t>
      </w:r>
      <w:r w:rsidR="00156CD9" w:rsidRPr="00156CD9">
        <w:rPr>
          <w:rFonts w:asciiTheme="majorHAnsi" w:hAnsiTheme="majorHAnsi"/>
          <w:u w:val="single"/>
        </w:rPr>
        <w:t xml:space="preserve">Wind Exclusion </w:t>
      </w:r>
      <w:r w:rsidRPr="00156CD9">
        <w:rPr>
          <w:rFonts w:asciiTheme="majorHAnsi" w:hAnsiTheme="majorHAnsi"/>
          <w:u w:val="single"/>
        </w:rPr>
        <w:t>Credit</w:t>
      </w:r>
      <w:r>
        <w:rPr>
          <w:rFonts w:asciiTheme="majorHAnsi" w:hAnsiTheme="majorHAnsi"/>
        </w:rPr>
        <w:t xml:space="preserve">.  Provide the total premium for the set of policies used to determine the </w:t>
      </w:r>
      <w:r>
        <w:rPr>
          <w:rFonts w:asciiTheme="majorHAnsi" w:hAnsiTheme="majorHAnsi"/>
          <w:u w:val="single"/>
        </w:rPr>
        <w:t>Average Credit for Excluding Windstorm and Hail Coverage.</w:t>
      </w:r>
    </w:p>
    <w:p w:rsidR="007E52B7" w:rsidRDefault="007E52B7">
      <w:pPr>
        <w:spacing w:after="0"/>
        <w:rPr>
          <w:rFonts w:asciiTheme="majorHAnsi" w:hAnsiTheme="majorHAnsi"/>
        </w:rPr>
      </w:pPr>
    </w:p>
    <w:p w:rsidR="004A7E29" w:rsidRDefault="005964ED" w:rsidP="004A7E29">
      <w:pPr>
        <w:pStyle w:val="ListParagraph"/>
        <w:numPr>
          <w:ilvl w:val="0"/>
          <w:numId w:val="2"/>
        </w:numPr>
        <w:spacing w:after="0"/>
        <w:ind w:left="810"/>
        <w:rPr>
          <w:rFonts w:asciiTheme="majorHAnsi" w:hAnsiTheme="majorHAnsi"/>
          <w:u w:val="single"/>
        </w:rPr>
      </w:pPr>
      <w:r>
        <w:rPr>
          <w:rFonts w:asciiTheme="majorHAnsi" w:hAnsiTheme="majorHAnsi"/>
          <w:u w:val="single"/>
        </w:rPr>
        <w:t>FRO</w:t>
      </w:r>
      <w:r w:rsidR="00B15581">
        <w:rPr>
          <w:rFonts w:asciiTheme="majorHAnsi" w:hAnsiTheme="majorHAnsi"/>
          <w:u w:val="single"/>
        </w:rPr>
        <w:t xml:space="preserve"> </w:t>
      </w:r>
      <w:r w:rsidR="00145DFE" w:rsidRPr="00145DFE">
        <w:rPr>
          <w:rFonts w:asciiTheme="majorHAnsi" w:hAnsiTheme="majorHAnsi"/>
          <w:u w:val="single"/>
        </w:rPr>
        <w:t>Percent</w:t>
      </w:r>
      <w:r w:rsidR="00B15581">
        <w:rPr>
          <w:rFonts w:asciiTheme="majorHAnsi" w:hAnsiTheme="majorHAnsi"/>
          <w:u w:val="single"/>
        </w:rPr>
        <w:t>.</w:t>
      </w:r>
      <w:r w:rsidR="00145DFE" w:rsidRPr="00145DFE">
        <w:rPr>
          <w:rFonts w:asciiTheme="majorHAnsi" w:hAnsiTheme="majorHAnsi"/>
        </w:rPr>
        <w:t xml:space="preserve">  </w:t>
      </w:r>
      <w:r w:rsidR="00626A3B">
        <w:rPr>
          <w:rFonts w:asciiTheme="majorHAnsi" w:hAnsiTheme="majorHAnsi"/>
        </w:rPr>
        <w:t>This column applies only to the farm and ranch owners</w:t>
      </w:r>
      <w:r w:rsidR="00442824">
        <w:rPr>
          <w:rFonts w:asciiTheme="majorHAnsi" w:hAnsiTheme="majorHAnsi"/>
        </w:rPr>
        <w:t>’</w:t>
      </w:r>
      <w:r w:rsidR="00626A3B">
        <w:rPr>
          <w:rFonts w:asciiTheme="majorHAnsi" w:hAnsiTheme="majorHAnsi"/>
        </w:rPr>
        <w:t xml:space="preserve"> </w:t>
      </w:r>
      <w:proofErr w:type="spellStart"/>
      <w:r w:rsidR="00626A3B">
        <w:rPr>
          <w:rFonts w:asciiTheme="majorHAnsi" w:hAnsiTheme="majorHAnsi"/>
        </w:rPr>
        <w:t>subline</w:t>
      </w:r>
      <w:proofErr w:type="spellEnd"/>
      <w:r w:rsidR="00626A3B">
        <w:rPr>
          <w:rFonts w:asciiTheme="majorHAnsi" w:hAnsiTheme="majorHAnsi"/>
        </w:rPr>
        <w:t xml:space="preserve"> of business.  All companies reporting data for farm and ranch owners</w:t>
      </w:r>
      <w:r w:rsidR="00442824">
        <w:rPr>
          <w:rFonts w:asciiTheme="majorHAnsi" w:hAnsiTheme="majorHAnsi"/>
        </w:rPr>
        <w:t>’ policies</w:t>
      </w:r>
      <w:r w:rsidR="00626A3B">
        <w:rPr>
          <w:rFonts w:asciiTheme="majorHAnsi" w:hAnsiTheme="majorHAnsi"/>
        </w:rPr>
        <w:t xml:space="preserve"> must complete this column.  Indicate whether the wind exclusion credit on the </w:t>
      </w:r>
      <w:r>
        <w:rPr>
          <w:rFonts w:asciiTheme="majorHAnsi" w:hAnsiTheme="majorHAnsi"/>
        </w:rPr>
        <w:t>residence premise</w:t>
      </w:r>
      <w:r w:rsidR="00626A3B">
        <w:rPr>
          <w:rFonts w:asciiTheme="majorHAnsi" w:hAnsiTheme="majorHAnsi"/>
        </w:rPr>
        <w:t xml:space="preserve"> is expressed as a percent of the total farm and ranch owners’ premium, or as a percentage of the </w:t>
      </w:r>
      <w:r>
        <w:rPr>
          <w:rFonts w:asciiTheme="majorHAnsi" w:hAnsiTheme="majorHAnsi"/>
        </w:rPr>
        <w:t>residence premise</w:t>
      </w:r>
      <w:r w:rsidR="00626A3B">
        <w:rPr>
          <w:rFonts w:asciiTheme="majorHAnsi" w:hAnsiTheme="majorHAnsi"/>
        </w:rPr>
        <w:t xml:space="preserve"> premium only</w:t>
      </w:r>
      <w:r>
        <w:rPr>
          <w:rFonts w:asciiTheme="majorHAnsi" w:hAnsiTheme="majorHAnsi"/>
        </w:rPr>
        <w:t xml:space="preserve"> by placing an “X” in the appropriate column</w:t>
      </w:r>
      <w:r w:rsidR="00626A3B">
        <w:rPr>
          <w:rFonts w:asciiTheme="majorHAnsi" w:hAnsiTheme="majorHAnsi"/>
        </w:rPr>
        <w:t xml:space="preserve">.  Insurers that do not show a separate premium for the </w:t>
      </w:r>
      <w:r>
        <w:rPr>
          <w:rFonts w:asciiTheme="majorHAnsi" w:hAnsiTheme="majorHAnsi"/>
        </w:rPr>
        <w:t>residence premise</w:t>
      </w:r>
      <w:r w:rsidR="00626A3B">
        <w:rPr>
          <w:rFonts w:asciiTheme="majorHAnsi" w:hAnsiTheme="majorHAnsi"/>
        </w:rPr>
        <w:t xml:space="preserve"> on the declarations page </w:t>
      </w:r>
      <w:r w:rsidR="00626A3B">
        <w:rPr>
          <w:rFonts w:asciiTheme="majorHAnsi" w:hAnsiTheme="majorHAnsi"/>
          <w:b/>
        </w:rPr>
        <w:t>must</w:t>
      </w:r>
      <w:r w:rsidR="00626A3B">
        <w:rPr>
          <w:rFonts w:asciiTheme="majorHAnsi" w:hAnsiTheme="majorHAnsi"/>
        </w:rPr>
        <w:t xml:space="preserve"> express the wind exclusion credit on the </w:t>
      </w:r>
      <w:r>
        <w:rPr>
          <w:rFonts w:asciiTheme="majorHAnsi" w:hAnsiTheme="majorHAnsi"/>
        </w:rPr>
        <w:t>residence premise</w:t>
      </w:r>
      <w:r w:rsidR="00626A3B">
        <w:rPr>
          <w:rFonts w:asciiTheme="majorHAnsi" w:hAnsiTheme="majorHAnsi"/>
        </w:rPr>
        <w:t xml:space="preserve"> as a percentage of the total farm and ranch owners’ premium.</w:t>
      </w:r>
    </w:p>
    <w:p w:rsidR="00C53E31" w:rsidRPr="00B15581" w:rsidRDefault="00C53E31" w:rsidP="00C53E31">
      <w:pPr>
        <w:pStyle w:val="ListParagraph"/>
        <w:spacing w:after="0"/>
        <w:ind w:left="360"/>
        <w:rPr>
          <w:rFonts w:asciiTheme="majorHAnsi" w:hAnsiTheme="majorHAnsi"/>
          <w:u w:val="single"/>
        </w:rPr>
      </w:pPr>
    </w:p>
    <w:p w:rsidR="007A3F7E" w:rsidRDefault="007E4AD8">
      <w:pPr>
        <w:spacing w:after="0"/>
        <w:rPr>
          <w:rFonts w:asciiTheme="majorHAnsi" w:hAnsiTheme="majorHAnsi"/>
          <w:b/>
        </w:rPr>
      </w:pPr>
      <w:r>
        <w:rPr>
          <w:rFonts w:asciiTheme="majorHAnsi" w:hAnsiTheme="majorHAnsi"/>
          <w:b/>
          <w:noProof/>
        </w:rPr>
        <w:pict>
          <v:shape id="_x0000_s1035" type="#_x0000_t32" style="position:absolute;margin-left:.6pt;margin-top:14.3pt;width:473.95pt;height:0;z-index:251681792" o:connectortype="straight" strokecolor="#938953 [1614]" strokeweight="1pt">
            <v:shadow type="perspective" color="#974706 [1609]" opacity=".5" offset="1pt" offset2="-1pt"/>
          </v:shape>
        </w:pict>
      </w:r>
      <w:r w:rsidR="00C24056">
        <w:rPr>
          <w:rFonts w:asciiTheme="majorHAnsi" w:hAnsiTheme="majorHAnsi"/>
          <w:b/>
          <w:noProof/>
        </w:rPr>
        <w:t>Methodology Description</w:t>
      </w:r>
      <w:r w:rsidR="00C24056" w:rsidRPr="00F915E4">
        <w:rPr>
          <w:rFonts w:asciiTheme="majorHAnsi" w:hAnsiTheme="majorHAnsi"/>
          <w:b/>
        </w:rPr>
        <w:t xml:space="preserve"> F</w:t>
      </w:r>
      <w:r w:rsidR="00C24056">
        <w:rPr>
          <w:rFonts w:asciiTheme="majorHAnsi" w:hAnsiTheme="majorHAnsi"/>
          <w:b/>
        </w:rPr>
        <w:t>orm</w:t>
      </w:r>
    </w:p>
    <w:p w:rsidR="00711557" w:rsidRDefault="00711557" w:rsidP="00AE6DA4">
      <w:pPr>
        <w:spacing w:after="0"/>
        <w:rPr>
          <w:rFonts w:asciiTheme="majorHAnsi" w:hAnsiTheme="majorHAnsi"/>
          <w:u w:val="single"/>
        </w:rPr>
      </w:pPr>
      <w:r>
        <w:rPr>
          <w:rFonts w:asciiTheme="majorHAnsi" w:hAnsiTheme="majorHAnsi"/>
          <w:u w:val="single"/>
        </w:rPr>
        <w:t>Purpose of the Methodology Description Form</w:t>
      </w:r>
    </w:p>
    <w:p w:rsidR="00711557" w:rsidRDefault="00445A9A" w:rsidP="00AE6DA4">
      <w:pPr>
        <w:spacing w:after="0"/>
        <w:rPr>
          <w:rFonts w:asciiTheme="majorHAnsi" w:hAnsiTheme="majorHAnsi"/>
        </w:rPr>
      </w:pPr>
      <w:r>
        <w:rPr>
          <w:rFonts w:asciiTheme="majorHAnsi" w:hAnsiTheme="majorHAnsi"/>
        </w:rPr>
        <w:t>A c</w:t>
      </w:r>
      <w:r w:rsidR="00711557" w:rsidRPr="00AB4D6A">
        <w:rPr>
          <w:rFonts w:asciiTheme="majorHAnsi" w:hAnsiTheme="majorHAnsi"/>
        </w:rPr>
        <w:t>ompan</w:t>
      </w:r>
      <w:r>
        <w:rPr>
          <w:rFonts w:asciiTheme="majorHAnsi" w:hAnsiTheme="majorHAnsi"/>
        </w:rPr>
        <w:t>y’</w:t>
      </w:r>
      <w:r w:rsidR="00711557" w:rsidRPr="00AB4D6A">
        <w:rPr>
          <w:rFonts w:asciiTheme="majorHAnsi" w:hAnsiTheme="majorHAnsi"/>
        </w:rPr>
        <w:t>s methodology for determining the credit for excluding windstorm can vary from very simple methods that depend on one or two variables</w:t>
      </w:r>
      <w:r w:rsidR="00E963C9">
        <w:rPr>
          <w:rFonts w:asciiTheme="majorHAnsi" w:hAnsiTheme="majorHAnsi"/>
        </w:rPr>
        <w:t>,</w:t>
      </w:r>
      <w:r w:rsidR="00711557" w:rsidRPr="00AB4D6A">
        <w:rPr>
          <w:rFonts w:asciiTheme="majorHAnsi" w:hAnsiTheme="majorHAnsi"/>
        </w:rPr>
        <w:t xml:space="preserve"> to very complex methods</w:t>
      </w:r>
      <w:r w:rsidR="009956F7" w:rsidRPr="00AB4D6A">
        <w:rPr>
          <w:rFonts w:asciiTheme="majorHAnsi" w:hAnsiTheme="majorHAnsi"/>
        </w:rPr>
        <w:t xml:space="preserve"> that depend on tens of variables.  T</w:t>
      </w:r>
      <w:r w:rsidR="00393E1C">
        <w:rPr>
          <w:rFonts w:asciiTheme="majorHAnsi" w:hAnsiTheme="majorHAnsi"/>
        </w:rPr>
        <w:t>DI</w:t>
      </w:r>
      <w:r w:rsidR="009956F7" w:rsidRPr="00AB4D6A">
        <w:rPr>
          <w:rFonts w:asciiTheme="majorHAnsi" w:hAnsiTheme="majorHAnsi"/>
        </w:rPr>
        <w:t xml:space="preserve"> understands that for very complex rating systems, determining the average windstorm and hail credit may require simplifying assumptions.</w:t>
      </w:r>
      <w:r w:rsidR="00AB4D6A" w:rsidRPr="00AB4D6A">
        <w:rPr>
          <w:rFonts w:asciiTheme="majorHAnsi" w:hAnsiTheme="majorHAnsi"/>
        </w:rPr>
        <w:t xml:space="preserve">  The purpose of the </w:t>
      </w:r>
      <w:r w:rsidR="00655411" w:rsidRPr="00655411">
        <w:rPr>
          <w:rFonts w:asciiTheme="majorHAnsi" w:hAnsiTheme="majorHAnsi"/>
          <w:i/>
        </w:rPr>
        <w:t>Methodology Description Form</w:t>
      </w:r>
      <w:r w:rsidR="00AB4D6A" w:rsidRPr="00AB4D6A">
        <w:rPr>
          <w:rFonts w:asciiTheme="majorHAnsi" w:hAnsiTheme="majorHAnsi"/>
        </w:rPr>
        <w:t xml:space="preserve"> is to give companies some flexibility in the methodology they use to determine the </w:t>
      </w:r>
      <w:r w:rsidR="00AB4D6A" w:rsidRPr="00AB4D6A">
        <w:rPr>
          <w:rFonts w:asciiTheme="majorHAnsi" w:hAnsiTheme="majorHAnsi"/>
          <w:u w:val="single"/>
        </w:rPr>
        <w:t>Average Credit for Excluding Windstorm and Hail Coverage</w:t>
      </w:r>
      <w:r w:rsidR="00393E1C">
        <w:rPr>
          <w:rFonts w:asciiTheme="majorHAnsi" w:hAnsiTheme="majorHAnsi"/>
        </w:rPr>
        <w:t xml:space="preserve">, but also enable TDI </w:t>
      </w:r>
      <w:r w:rsidR="00AB4D6A" w:rsidRPr="00AB4D6A">
        <w:rPr>
          <w:rFonts w:asciiTheme="majorHAnsi" w:hAnsiTheme="majorHAnsi"/>
        </w:rPr>
        <w:t xml:space="preserve">to evaluate whether the methodology provides a reasonable estimate of the company’s </w:t>
      </w:r>
      <w:r w:rsidR="00AB4D6A">
        <w:rPr>
          <w:rFonts w:asciiTheme="majorHAnsi" w:hAnsiTheme="majorHAnsi"/>
        </w:rPr>
        <w:t>average windstorm and hail exclusion credit</w:t>
      </w:r>
      <w:r w:rsidR="00AB4D6A" w:rsidRPr="00AB4D6A">
        <w:rPr>
          <w:rFonts w:asciiTheme="majorHAnsi" w:hAnsiTheme="majorHAnsi"/>
        </w:rPr>
        <w:t>.</w:t>
      </w:r>
    </w:p>
    <w:p w:rsidR="001C43A1" w:rsidRDefault="001C43A1" w:rsidP="00AE6DA4">
      <w:pPr>
        <w:spacing w:after="0"/>
        <w:rPr>
          <w:rFonts w:asciiTheme="majorHAnsi" w:hAnsiTheme="majorHAnsi"/>
        </w:rPr>
      </w:pPr>
    </w:p>
    <w:p w:rsidR="001C43A1" w:rsidRPr="00C53E31" w:rsidRDefault="001C43A1" w:rsidP="00AE6DA4">
      <w:pPr>
        <w:spacing w:after="0"/>
        <w:rPr>
          <w:rFonts w:asciiTheme="majorHAnsi" w:hAnsiTheme="majorHAnsi"/>
        </w:rPr>
      </w:pPr>
      <w:r>
        <w:rPr>
          <w:rFonts w:asciiTheme="majorHAnsi" w:hAnsiTheme="majorHAnsi"/>
        </w:rPr>
        <w:t xml:space="preserve">Insurers must provide a </w:t>
      </w:r>
      <w:r w:rsidR="00F903A9">
        <w:rPr>
          <w:rFonts w:asciiTheme="majorHAnsi" w:hAnsiTheme="majorHAnsi"/>
          <w:i/>
        </w:rPr>
        <w:t>M</w:t>
      </w:r>
      <w:r w:rsidR="001A5E52" w:rsidRPr="001A5E52">
        <w:rPr>
          <w:rFonts w:asciiTheme="majorHAnsi" w:hAnsiTheme="majorHAnsi"/>
          <w:i/>
        </w:rPr>
        <w:t xml:space="preserve">ethodology </w:t>
      </w:r>
      <w:r w:rsidR="00F903A9">
        <w:rPr>
          <w:rFonts w:asciiTheme="majorHAnsi" w:hAnsiTheme="majorHAnsi"/>
          <w:i/>
        </w:rPr>
        <w:t>D</w:t>
      </w:r>
      <w:r w:rsidR="001A5E52" w:rsidRPr="001A5E52">
        <w:rPr>
          <w:rFonts w:asciiTheme="majorHAnsi" w:hAnsiTheme="majorHAnsi"/>
          <w:i/>
        </w:rPr>
        <w:t xml:space="preserve">escription </w:t>
      </w:r>
      <w:r w:rsidR="00F903A9">
        <w:rPr>
          <w:rFonts w:asciiTheme="majorHAnsi" w:hAnsiTheme="majorHAnsi"/>
          <w:i/>
        </w:rPr>
        <w:t>F</w:t>
      </w:r>
      <w:r w:rsidR="001A5E52" w:rsidRPr="001A5E52">
        <w:rPr>
          <w:rFonts w:asciiTheme="majorHAnsi" w:hAnsiTheme="majorHAnsi"/>
          <w:i/>
        </w:rPr>
        <w:t>orm</w:t>
      </w:r>
      <w:r w:rsidR="00F903A9">
        <w:rPr>
          <w:rFonts w:asciiTheme="majorHAnsi" w:hAnsiTheme="majorHAnsi"/>
        </w:rPr>
        <w:t xml:space="preserve"> </w:t>
      </w:r>
      <w:r>
        <w:rPr>
          <w:rFonts w:asciiTheme="majorHAnsi" w:hAnsiTheme="majorHAnsi"/>
        </w:rPr>
        <w:t xml:space="preserve">for </w:t>
      </w:r>
      <w:r>
        <w:rPr>
          <w:rFonts w:asciiTheme="majorHAnsi" w:hAnsiTheme="majorHAnsi"/>
          <w:i/>
        </w:rPr>
        <w:t xml:space="preserve">each company </w:t>
      </w:r>
      <w:r w:rsidR="00145DFE" w:rsidRPr="00145DFE">
        <w:rPr>
          <w:rFonts w:asciiTheme="majorHAnsi" w:hAnsiTheme="majorHAnsi"/>
        </w:rPr>
        <w:t>and</w:t>
      </w:r>
      <w:r>
        <w:rPr>
          <w:rFonts w:asciiTheme="majorHAnsi" w:hAnsiTheme="majorHAnsi"/>
          <w:i/>
        </w:rPr>
        <w:t xml:space="preserve"> each </w:t>
      </w:r>
      <w:proofErr w:type="spellStart"/>
      <w:r>
        <w:rPr>
          <w:rFonts w:asciiTheme="majorHAnsi" w:hAnsiTheme="majorHAnsi"/>
          <w:i/>
        </w:rPr>
        <w:t>subline</w:t>
      </w:r>
      <w:proofErr w:type="spellEnd"/>
      <w:r>
        <w:rPr>
          <w:rFonts w:asciiTheme="majorHAnsi" w:hAnsiTheme="majorHAnsi"/>
          <w:i/>
        </w:rPr>
        <w:t xml:space="preserve"> of business</w:t>
      </w:r>
      <w:r w:rsidR="00145DFE" w:rsidRPr="00145DFE">
        <w:rPr>
          <w:rFonts w:asciiTheme="majorHAnsi" w:hAnsiTheme="majorHAnsi"/>
        </w:rPr>
        <w:t xml:space="preserve"> where the company has checked “</w:t>
      </w:r>
      <w:r w:rsidR="00293D37">
        <w:rPr>
          <w:rFonts w:asciiTheme="majorHAnsi" w:hAnsiTheme="majorHAnsi"/>
        </w:rPr>
        <w:t>Y</w:t>
      </w:r>
      <w:r w:rsidR="00145DFE" w:rsidRPr="00145DFE">
        <w:rPr>
          <w:rFonts w:asciiTheme="majorHAnsi" w:hAnsiTheme="majorHAnsi"/>
        </w:rPr>
        <w:t xml:space="preserve">es” in the </w:t>
      </w:r>
      <w:r w:rsidR="00442824" w:rsidRPr="00442824">
        <w:rPr>
          <w:rFonts w:asciiTheme="majorHAnsi" w:hAnsiTheme="majorHAnsi"/>
          <w:i/>
        </w:rPr>
        <w:t>Transmittal Form</w:t>
      </w:r>
      <w:r w:rsidR="00145DFE" w:rsidRPr="00145DFE">
        <w:rPr>
          <w:rFonts w:asciiTheme="majorHAnsi" w:hAnsiTheme="majorHAnsi"/>
        </w:rPr>
        <w:t>.</w:t>
      </w:r>
      <w:r w:rsidR="00795587">
        <w:rPr>
          <w:rFonts w:asciiTheme="majorHAnsi" w:hAnsiTheme="majorHAnsi"/>
        </w:rPr>
        <w:t xml:space="preserve">  If the insurer uses the same methodology for multiple companies, the insurer may provide the description for a single company, and reference that description on the </w:t>
      </w:r>
      <w:r w:rsidR="00F903A9">
        <w:rPr>
          <w:rFonts w:asciiTheme="majorHAnsi" w:hAnsiTheme="majorHAnsi"/>
          <w:i/>
        </w:rPr>
        <w:t>M</w:t>
      </w:r>
      <w:r w:rsidR="001A5E52" w:rsidRPr="001A5E52">
        <w:rPr>
          <w:rFonts w:asciiTheme="majorHAnsi" w:hAnsiTheme="majorHAnsi"/>
          <w:i/>
        </w:rPr>
        <w:t xml:space="preserve">ethodology </w:t>
      </w:r>
      <w:r w:rsidR="00F903A9">
        <w:rPr>
          <w:rFonts w:asciiTheme="majorHAnsi" w:hAnsiTheme="majorHAnsi"/>
          <w:i/>
        </w:rPr>
        <w:t>D</w:t>
      </w:r>
      <w:r w:rsidR="001A5E52" w:rsidRPr="001A5E52">
        <w:rPr>
          <w:rFonts w:asciiTheme="majorHAnsi" w:hAnsiTheme="majorHAnsi"/>
          <w:i/>
        </w:rPr>
        <w:t xml:space="preserve">escription </w:t>
      </w:r>
      <w:r w:rsidR="00F903A9">
        <w:rPr>
          <w:rFonts w:asciiTheme="majorHAnsi" w:hAnsiTheme="majorHAnsi"/>
          <w:i/>
        </w:rPr>
        <w:t>F</w:t>
      </w:r>
      <w:r w:rsidR="001A5E52" w:rsidRPr="001A5E52">
        <w:rPr>
          <w:rFonts w:asciiTheme="majorHAnsi" w:hAnsiTheme="majorHAnsi"/>
          <w:i/>
        </w:rPr>
        <w:t>orms</w:t>
      </w:r>
      <w:r w:rsidR="00F903A9">
        <w:rPr>
          <w:rFonts w:asciiTheme="majorHAnsi" w:hAnsiTheme="majorHAnsi"/>
        </w:rPr>
        <w:t xml:space="preserve"> </w:t>
      </w:r>
      <w:r w:rsidR="00795587">
        <w:rPr>
          <w:rFonts w:asciiTheme="majorHAnsi" w:hAnsiTheme="majorHAnsi"/>
        </w:rPr>
        <w:t>for all other companies.</w:t>
      </w:r>
    </w:p>
    <w:p w:rsidR="00711557" w:rsidRDefault="00711557" w:rsidP="00AE6DA4">
      <w:pPr>
        <w:spacing w:after="0"/>
        <w:rPr>
          <w:rFonts w:asciiTheme="majorHAnsi" w:hAnsiTheme="majorHAnsi"/>
          <w:u w:val="single"/>
        </w:rPr>
      </w:pPr>
    </w:p>
    <w:p w:rsidR="005C2C41" w:rsidRDefault="00FA7826" w:rsidP="00AE6DA4">
      <w:pPr>
        <w:spacing w:after="0"/>
        <w:rPr>
          <w:rFonts w:asciiTheme="majorHAnsi" w:hAnsiTheme="majorHAnsi"/>
          <w:u w:val="single"/>
        </w:rPr>
      </w:pPr>
      <w:r w:rsidRPr="00FA7826">
        <w:rPr>
          <w:rFonts w:asciiTheme="majorHAnsi" w:hAnsiTheme="majorHAnsi"/>
          <w:u w:val="single"/>
        </w:rPr>
        <w:t>Company Contact Information</w:t>
      </w:r>
    </w:p>
    <w:p w:rsidR="00FA7826" w:rsidRDefault="00FA7826" w:rsidP="00AE6DA4">
      <w:pPr>
        <w:spacing w:after="0"/>
        <w:rPr>
          <w:rFonts w:asciiTheme="majorHAnsi" w:hAnsiTheme="majorHAnsi"/>
        </w:rPr>
      </w:pPr>
      <w:r w:rsidRPr="00FA7826">
        <w:rPr>
          <w:rFonts w:asciiTheme="majorHAnsi" w:hAnsiTheme="majorHAnsi"/>
        </w:rPr>
        <w:t xml:space="preserve">In the company contact information section </w:t>
      </w:r>
      <w:r>
        <w:rPr>
          <w:rFonts w:asciiTheme="majorHAnsi" w:hAnsiTheme="majorHAnsi"/>
        </w:rPr>
        <w:t xml:space="preserve">of the </w:t>
      </w:r>
      <w:r w:rsidR="00821838">
        <w:rPr>
          <w:rFonts w:asciiTheme="majorHAnsi" w:hAnsiTheme="majorHAnsi"/>
          <w:i/>
        </w:rPr>
        <w:t>M</w:t>
      </w:r>
      <w:r w:rsidR="00655411" w:rsidRPr="00655411">
        <w:rPr>
          <w:rFonts w:asciiTheme="majorHAnsi" w:hAnsiTheme="majorHAnsi"/>
          <w:i/>
        </w:rPr>
        <w:t xml:space="preserve">ethodology </w:t>
      </w:r>
      <w:r w:rsidR="00821838">
        <w:rPr>
          <w:rFonts w:asciiTheme="majorHAnsi" w:hAnsiTheme="majorHAnsi"/>
          <w:i/>
        </w:rPr>
        <w:t>D</w:t>
      </w:r>
      <w:r w:rsidR="00655411" w:rsidRPr="00655411">
        <w:rPr>
          <w:rFonts w:asciiTheme="majorHAnsi" w:hAnsiTheme="majorHAnsi"/>
          <w:i/>
        </w:rPr>
        <w:t xml:space="preserve">escription </w:t>
      </w:r>
      <w:r w:rsidR="00821838">
        <w:rPr>
          <w:rFonts w:asciiTheme="majorHAnsi" w:hAnsiTheme="majorHAnsi"/>
          <w:i/>
        </w:rPr>
        <w:t>F</w:t>
      </w:r>
      <w:r w:rsidR="00655411" w:rsidRPr="00655411">
        <w:rPr>
          <w:rFonts w:asciiTheme="majorHAnsi" w:hAnsiTheme="majorHAnsi"/>
          <w:i/>
        </w:rPr>
        <w:t>orm</w:t>
      </w:r>
      <w:r w:rsidR="00E963C9">
        <w:rPr>
          <w:rFonts w:asciiTheme="majorHAnsi" w:hAnsiTheme="majorHAnsi"/>
        </w:rPr>
        <w:t>,</w:t>
      </w:r>
      <w:r>
        <w:rPr>
          <w:rFonts w:asciiTheme="majorHAnsi" w:hAnsiTheme="majorHAnsi"/>
        </w:rPr>
        <w:t xml:space="preserve"> </w:t>
      </w:r>
      <w:r w:rsidRPr="00FA7826">
        <w:rPr>
          <w:rFonts w:asciiTheme="majorHAnsi" w:hAnsiTheme="majorHAnsi"/>
        </w:rPr>
        <w:t xml:space="preserve">provide the name </w:t>
      </w:r>
      <w:r>
        <w:rPr>
          <w:rFonts w:asciiTheme="majorHAnsi" w:hAnsiTheme="majorHAnsi"/>
        </w:rPr>
        <w:t xml:space="preserve">and contact information for the person responsible for the data call.  This </w:t>
      </w:r>
      <w:r w:rsidR="003E485F">
        <w:rPr>
          <w:rFonts w:asciiTheme="majorHAnsi" w:hAnsiTheme="majorHAnsi"/>
        </w:rPr>
        <w:t>must</w:t>
      </w:r>
      <w:r>
        <w:rPr>
          <w:rFonts w:asciiTheme="majorHAnsi" w:hAnsiTheme="majorHAnsi"/>
        </w:rPr>
        <w:t xml:space="preserve"> match the contact information </w:t>
      </w:r>
      <w:r w:rsidR="003E485F">
        <w:rPr>
          <w:rFonts w:asciiTheme="majorHAnsi" w:hAnsiTheme="majorHAnsi"/>
        </w:rPr>
        <w:t>provided</w:t>
      </w:r>
      <w:r>
        <w:rPr>
          <w:rFonts w:asciiTheme="majorHAnsi" w:hAnsiTheme="majorHAnsi"/>
        </w:rPr>
        <w:t xml:space="preserve"> in the </w:t>
      </w:r>
      <w:r w:rsidR="00821838">
        <w:rPr>
          <w:rFonts w:asciiTheme="majorHAnsi" w:hAnsiTheme="majorHAnsi"/>
          <w:i/>
        </w:rPr>
        <w:t>T</w:t>
      </w:r>
      <w:r w:rsidR="00655411" w:rsidRPr="00655411">
        <w:rPr>
          <w:rFonts w:asciiTheme="majorHAnsi" w:hAnsiTheme="majorHAnsi"/>
          <w:i/>
        </w:rPr>
        <w:t xml:space="preserve">ransmittal </w:t>
      </w:r>
      <w:r w:rsidR="00821838">
        <w:rPr>
          <w:rFonts w:asciiTheme="majorHAnsi" w:hAnsiTheme="majorHAnsi"/>
          <w:i/>
        </w:rPr>
        <w:t>F</w:t>
      </w:r>
      <w:r w:rsidR="00655411" w:rsidRPr="00655411">
        <w:rPr>
          <w:rFonts w:asciiTheme="majorHAnsi" w:hAnsiTheme="majorHAnsi"/>
          <w:i/>
        </w:rPr>
        <w:t>orm</w:t>
      </w:r>
      <w:r w:rsidR="003E485F">
        <w:rPr>
          <w:rFonts w:asciiTheme="majorHAnsi" w:hAnsiTheme="majorHAnsi"/>
        </w:rPr>
        <w:t>.</w:t>
      </w:r>
    </w:p>
    <w:p w:rsidR="00711557" w:rsidRDefault="00711557" w:rsidP="00AE6DA4">
      <w:pPr>
        <w:spacing w:after="0"/>
        <w:rPr>
          <w:rFonts w:asciiTheme="majorHAnsi" w:hAnsiTheme="majorHAnsi"/>
        </w:rPr>
      </w:pPr>
    </w:p>
    <w:p w:rsidR="00FA7826" w:rsidRDefault="00FA7826" w:rsidP="00AE6DA4">
      <w:pPr>
        <w:spacing w:after="0"/>
        <w:rPr>
          <w:rFonts w:asciiTheme="majorHAnsi" w:hAnsiTheme="majorHAnsi"/>
          <w:u w:val="single"/>
        </w:rPr>
      </w:pPr>
      <w:r w:rsidRPr="00FA7826">
        <w:rPr>
          <w:rFonts w:asciiTheme="majorHAnsi" w:hAnsiTheme="majorHAnsi"/>
          <w:u w:val="single"/>
        </w:rPr>
        <w:t>Methodology Description Section</w:t>
      </w:r>
    </w:p>
    <w:p w:rsidR="00FA7826" w:rsidRDefault="00FA7826" w:rsidP="00AE6DA4">
      <w:pPr>
        <w:spacing w:after="0"/>
        <w:rPr>
          <w:rFonts w:asciiTheme="majorHAnsi" w:hAnsiTheme="majorHAnsi"/>
        </w:rPr>
      </w:pPr>
      <w:r w:rsidRPr="003E485F">
        <w:rPr>
          <w:rFonts w:asciiTheme="majorHAnsi" w:hAnsiTheme="majorHAnsi"/>
        </w:rPr>
        <w:t>In the methodology description section</w:t>
      </w:r>
      <w:r w:rsidR="003E485F" w:rsidRPr="003E485F">
        <w:rPr>
          <w:rFonts w:asciiTheme="majorHAnsi" w:hAnsiTheme="majorHAnsi"/>
        </w:rPr>
        <w:t>,</w:t>
      </w:r>
      <w:r w:rsidRPr="003E485F">
        <w:rPr>
          <w:rFonts w:asciiTheme="majorHAnsi" w:hAnsiTheme="majorHAnsi"/>
        </w:rPr>
        <w:t xml:space="preserve"> describe the method the company used to calculate the average credit for excluding windstorm and hail coverage.  </w:t>
      </w:r>
      <w:r w:rsidR="003E485F">
        <w:rPr>
          <w:rFonts w:asciiTheme="majorHAnsi" w:hAnsiTheme="majorHAnsi"/>
        </w:rPr>
        <w:t xml:space="preserve">For each applicable company and </w:t>
      </w:r>
      <w:proofErr w:type="spellStart"/>
      <w:r w:rsidR="003E485F">
        <w:rPr>
          <w:rFonts w:asciiTheme="majorHAnsi" w:hAnsiTheme="majorHAnsi"/>
        </w:rPr>
        <w:t>subline</w:t>
      </w:r>
      <w:proofErr w:type="spellEnd"/>
      <w:r w:rsidR="003E485F">
        <w:rPr>
          <w:rFonts w:asciiTheme="majorHAnsi" w:hAnsiTheme="majorHAnsi"/>
        </w:rPr>
        <w:t xml:space="preserve"> of insurance, the methodology description section must include a detailed description of the data the company relied on, and a detailed description of the method the company used to calculate the average.  The </w:t>
      </w:r>
      <w:r w:rsidR="00103AF3">
        <w:rPr>
          <w:rFonts w:asciiTheme="majorHAnsi" w:hAnsiTheme="majorHAnsi"/>
        </w:rPr>
        <w:t xml:space="preserve">company must provide a </w:t>
      </w:r>
      <w:r w:rsidR="003E485F">
        <w:rPr>
          <w:rFonts w:asciiTheme="majorHAnsi" w:hAnsiTheme="majorHAnsi"/>
        </w:rPr>
        <w:t xml:space="preserve">description </w:t>
      </w:r>
      <w:r w:rsidR="00103AF3">
        <w:rPr>
          <w:rFonts w:asciiTheme="majorHAnsi" w:hAnsiTheme="majorHAnsi"/>
        </w:rPr>
        <w:t xml:space="preserve">that contains </w:t>
      </w:r>
      <w:r w:rsidR="003E485F">
        <w:rPr>
          <w:rFonts w:asciiTheme="majorHAnsi" w:hAnsiTheme="majorHAnsi"/>
        </w:rPr>
        <w:t xml:space="preserve">sufficient detail </w:t>
      </w:r>
      <w:r w:rsidR="00C24056">
        <w:rPr>
          <w:rFonts w:asciiTheme="majorHAnsi" w:hAnsiTheme="majorHAnsi"/>
        </w:rPr>
        <w:t xml:space="preserve">such </w:t>
      </w:r>
      <w:r w:rsidR="003E485F">
        <w:rPr>
          <w:rFonts w:asciiTheme="majorHAnsi" w:hAnsiTheme="majorHAnsi"/>
        </w:rPr>
        <w:t>that a qualified actuary could replicate the company’s calculations if the qualified actuary was only given the data the company relied on, and the methodology description.</w:t>
      </w:r>
    </w:p>
    <w:p w:rsidR="003E485F" w:rsidRDefault="003E485F" w:rsidP="00AE6DA4">
      <w:pPr>
        <w:spacing w:after="0"/>
        <w:rPr>
          <w:rFonts w:asciiTheme="majorHAnsi" w:hAnsiTheme="majorHAnsi"/>
        </w:rPr>
      </w:pPr>
    </w:p>
    <w:p w:rsidR="003E485F" w:rsidRDefault="003E485F" w:rsidP="00AE6DA4">
      <w:pPr>
        <w:spacing w:after="0"/>
        <w:rPr>
          <w:rFonts w:asciiTheme="majorHAnsi" w:hAnsiTheme="majorHAnsi"/>
        </w:rPr>
      </w:pPr>
      <w:r>
        <w:rPr>
          <w:rFonts w:asciiTheme="majorHAnsi" w:hAnsiTheme="majorHAnsi"/>
        </w:rPr>
        <w:lastRenderedPageBreak/>
        <w:t xml:space="preserve">If the data or methodology varies by company or </w:t>
      </w:r>
      <w:proofErr w:type="spellStart"/>
      <w:r>
        <w:rPr>
          <w:rFonts w:asciiTheme="majorHAnsi" w:hAnsiTheme="majorHAnsi"/>
        </w:rPr>
        <w:t>subline</w:t>
      </w:r>
      <w:proofErr w:type="spellEnd"/>
      <w:r>
        <w:rPr>
          <w:rFonts w:asciiTheme="majorHAnsi" w:hAnsiTheme="majorHAnsi"/>
        </w:rPr>
        <w:t xml:space="preserve"> of business, the reporting company must provide a separate methodology description for </w:t>
      </w:r>
      <w:r>
        <w:rPr>
          <w:rFonts w:asciiTheme="majorHAnsi" w:hAnsiTheme="majorHAnsi"/>
          <w:b/>
        </w:rPr>
        <w:t>each</w:t>
      </w:r>
      <w:r>
        <w:rPr>
          <w:rFonts w:asciiTheme="majorHAnsi" w:hAnsiTheme="majorHAnsi"/>
        </w:rPr>
        <w:t xml:space="preserve"> company and </w:t>
      </w:r>
      <w:r>
        <w:rPr>
          <w:rFonts w:asciiTheme="majorHAnsi" w:hAnsiTheme="majorHAnsi"/>
          <w:b/>
        </w:rPr>
        <w:t>each</w:t>
      </w:r>
      <w:r>
        <w:rPr>
          <w:rFonts w:asciiTheme="majorHAnsi" w:hAnsiTheme="majorHAnsi"/>
          <w:b/>
          <w:i/>
        </w:rPr>
        <w:t xml:space="preserve"> </w:t>
      </w:r>
      <w:proofErr w:type="spellStart"/>
      <w:r w:rsidRPr="003E485F">
        <w:rPr>
          <w:rFonts w:asciiTheme="majorHAnsi" w:hAnsiTheme="majorHAnsi"/>
        </w:rPr>
        <w:t>subline</w:t>
      </w:r>
      <w:proofErr w:type="spellEnd"/>
      <w:r w:rsidRPr="003E485F">
        <w:rPr>
          <w:rFonts w:asciiTheme="majorHAnsi" w:hAnsiTheme="majorHAnsi"/>
        </w:rPr>
        <w:t xml:space="preserve"> of business.</w:t>
      </w:r>
      <w:r>
        <w:rPr>
          <w:rFonts w:asciiTheme="majorHAnsi" w:hAnsiTheme="majorHAnsi"/>
        </w:rPr>
        <w:t xml:space="preserve">  </w:t>
      </w:r>
    </w:p>
    <w:p w:rsidR="00C9641F" w:rsidRDefault="00C9641F" w:rsidP="00AE6DA4">
      <w:pPr>
        <w:spacing w:after="0"/>
        <w:rPr>
          <w:rFonts w:asciiTheme="majorHAnsi" w:hAnsiTheme="majorHAnsi"/>
        </w:rPr>
      </w:pPr>
    </w:p>
    <w:p w:rsidR="00C9641F" w:rsidRDefault="006B77E6" w:rsidP="00AE6DA4">
      <w:pPr>
        <w:spacing w:after="0"/>
        <w:rPr>
          <w:rFonts w:asciiTheme="majorHAnsi" w:hAnsiTheme="majorHAnsi"/>
          <w:b/>
          <w:u w:val="single"/>
        </w:rPr>
      </w:pPr>
      <w:proofErr w:type="spellStart"/>
      <w:r>
        <w:rPr>
          <w:rFonts w:asciiTheme="majorHAnsi" w:hAnsiTheme="majorHAnsi"/>
          <w:b/>
          <w:u w:val="single"/>
        </w:rPr>
        <w:t>Nondisputed</w:t>
      </w:r>
      <w:proofErr w:type="spellEnd"/>
      <w:r>
        <w:rPr>
          <w:rFonts w:asciiTheme="majorHAnsi" w:hAnsiTheme="majorHAnsi"/>
          <w:b/>
          <w:u w:val="single"/>
        </w:rPr>
        <w:t xml:space="preserve"> Methodologies</w:t>
      </w:r>
    </w:p>
    <w:p w:rsidR="00C9641F" w:rsidRDefault="00C9641F" w:rsidP="00AE6DA4">
      <w:pPr>
        <w:spacing w:after="0"/>
        <w:rPr>
          <w:rFonts w:asciiTheme="majorHAnsi" w:hAnsiTheme="majorHAnsi"/>
        </w:rPr>
      </w:pPr>
      <w:r w:rsidRPr="00C9641F">
        <w:rPr>
          <w:rFonts w:asciiTheme="majorHAnsi" w:hAnsiTheme="majorHAnsi"/>
        </w:rPr>
        <w:t xml:space="preserve">The following are a list of methodologies that TDI will accept without dispute.  Since rating methodologies can vary significantly from one company to another, it is not possible to list all of the methodologies that are acceptable to TDI.  </w:t>
      </w:r>
      <w:r w:rsidR="006201BA">
        <w:rPr>
          <w:rFonts w:asciiTheme="majorHAnsi" w:hAnsiTheme="majorHAnsi"/>
        </w:rPr>
        <w:t xml:space="preserve">Companies should not consider this as a complete list of all the methodologies TDI will accept.  </w:t>
      </w:r>
      <w:r w:rsidR="00E963C9">
        <w:rPr>
          <w:rFonts w:asciiTheme="majorHAnsi" w:hAnsiTheme="majorHAnsi"/>
        </w:rPr>
        <w:t>W</w:t>
      </w:r>
      <w:r w:rsidRPr="00C9641F">
        <w:rPr>
          <w:rFonts w:asciiTheme="majorHAnsi" w:hAnsiTheme="majorHAnsi"/>
        </w:rPr>
        <w:t>hatever method</w:t>
      </w:r>
      <w:r w:rsidR="009664A1">
        <w:rPr>
          <w:rFonts w:asciiTheme="majorHAnsi" w:hAnsiTheme="majorHAnsi"/>
        </w:rPr>
        <w:t>ology</w:t>
      </w:r>
      <w:r w:rsidRPr="00C9641F">
        <w:rPr>
          <w:rFonts w:asciiTheme="majorHAnsi" w:hAnsiTheme="majorHAnsi"/>
        </w:rPr>
        <w:t xml:space="preserve"> the company </w:t>
      </w:r>
      <w:r w:rsidR="009664A1">
        <w:rPr>
          <w:rFonts w:asciiTheme="majorHAnsi" w:hAnsiTheme="majorHAnsi"/>
        </w:rPr>
        <w:t>uses</w:t>
      </w:r>
      <w:r w:rsidR="009664A1" w:rsidRPr="00C9641F">
        <w:rPr>
          <w:rFonts w:asciiTheme="majorHAnsi" w:hAnsiTheme="majorHAnsi"/>
        </w:rPr>
        <w:t xml:space="preserve"> </w:t>
      </w:r>
      <w:r w:rsidRPr="00C9641F">
        <w:rPr>
          <w:rFonts w:asciiTheme="majorHAnsi" w:hAnsiTheme="majorHAnsi"/>
        </w:rPr>
        <w:t>must result in a reasonable estimate of the company’s average credit for excluding windstorm and hail coverage for policies whe</w:t>
      </w:r>
      <w:r w:rsidR="006201BA">
        <w:rPr>
          <w:rFonts w:asciiTheme="majorHAnsi" w:hAnsiTheme="majorHAnsi"/>
        </w:rPr>
        <w:t>re</w:t>
      </w:r>
      <w:r w:rsidRPr="00C9641F">
        <w:rPr>
          <w:rFonts w:asciiTheme="majorHAnsi" w:hAnsiTheme="majorHAnsi"/>
        </w:rPr>
        <w:t xml:space="preserve"> the company currently provides wind coverage.</w:t>
      </w:r>
    </w:p>
    <w:p w:rsidR="00C9641F" w:rsidRDefault="00C9641F" w:rsidP="00AE6DA4">
      <w:pPr>
        <w:spacing w:after="0"/>
        <w:rPr>
          <w:rFonts w:asciiTheme="majorHAnsi" w:hAnsiTheme="majorHAnsi"/>
        </w:rPr>
      </w:pPr>
    </w:p>
    <w:p w:rsidR="00C9641F" w:rsidRPr="00500A9B" w:rsidRDefault="00C9641F" w:rsidP="00500A9B">
      <w:pPr>
        <w:pStyle w:val="ListParagraph"/>
        <w:numPr>
          <w:ilvl w:val="0"/>
          <w:numId w:val="4"/>
        </w:numPr>
        <w:spacing w:after="0"/>
        <w:ind w:left="360" w:hanging="360"/>
        <w:rPr>
          <w:rFonts w:asciiTheme="majorHAnsi" w:hAnsiTheme="majorHAnsi"/>
        </w:rPr>
      </w:pPr>
      <w:r w:rsidRPr="00500A9B">
        <w:rPr>
          <w:rFonts w:asciiTheme="majorHAnsi" w:hAnsiTheme="majorHAnsi"/>
        </w:rPr>
        <w:t>Companies may rely on a methodology where policies that current</w:t>
      </w:r>
      <w:r w:rsidR="00500A9B" w:rsidRPr="00500A9B">
        <w:rPr>
          <w:rFonts w:asciiTheme="majorHAnsi" w:hAnsiTheme="majorHAnsi"/>
        </w:rPr>
        <w:t>ly</w:t>
      </w:r>
      <w:r w:rsidRPr="00500A9B">
        <w:rPr>
          <w:rFonts w:asciiTheme="majorHAnsi" w:hAnsiTheme="majorHAnsi"/>
        </w:rPr>
        <w:t xml:space="preserve"> provide wind coverage are rerated to exclude wind coverage, and the average credit for excluding windstorm and hail coverage is calculated by subtracting the total premium after excluding wind from the current premium including wind</w:t>
      </w:r>
      <w:r w:rsidR="00500A9B" w:rsidRPr="00500A9B">
        <w:rPr>
          <w:rFonts w:asciiTheme="majorHAnsi" w:hAnsiTheme="majorHAnsi"/>
        </w:rPr>
        <w:t>,</w:t>
      </w:r>
      <w:r w:rsidRPr="00500A9B">
        <w:rPr>
          <w:rFonts w:asciiTheme="majorHAnsi" w:hAnsiTheme="majorHAnsi"/>
        </w:rPr>
        <w:t xml:space="preserve"> and dividing this difference by the current premium including wind.</w:t>
      </w:r>
    </w:p>
    <w:p w:rsidR="00C9641F" w:rsidRDefault="00C9641F" w:rsidP="00AE6DA4">
      <w:pPr>
        <w:spacing w:after="0"/>
        <w:rPr>
          <w:rFonts w:asciiTheme="majorHAnsi" w:hAnsiTheme="majorHAnsi"/>
        </w:rPr>
      </w:pPr>
    </w:p>
    <w:p w:rsidR="00500A9B" w:rsidRPr="00500A9B" w:rsidRDefault="006201BA" w:rsidP="00500A9B">
      <w:pPr>
        <w:pStyle w:val="ListParagraph"/>
        <w:numPr>
          <w:ilvl w:val="0"/>
          <w:numId w:val="4"/>
        </w:numPr>
        <w:spacing w:after="0"/>
        <w:ind w:left="360" w:hanging="360"/>
        <w:rPr>
          <w:rFonts w:asciiTheme="majorHAnsi" w:hAnsiTheme="majorHAnsi"/>
        </w:rPr>
      </w:pPr>
      <w:r>
        <w:rPr>
          <w:rFonts w:asciiTheme="majorHAnsi" w:hAnsiTheme="majorHAnsi"/>
        </w:rPr>
        <w:t>T</w:t>
      </w:r>
      <w:r w:rsidR="00C9641F" w:rsidRPr="00500A9B">
        <w:rPr>
          <w:rFonts w:asciiTheme="majorHAnsi" w:hAnsiTheme="majorHAnsi"/>
        </w:rPr>
        <w:t xml:space="preserve">he company may rely on a methodology </w:t>
      </w:r>
      <w:r w:rsidR="00821838">
        <w:rPr>
          <w:rFonts w:asciiTheme="majorHAnsi" w:hAnsiTheme="majorHAnsi"/>
        </w:rPr>
        <w:t>in which</w:t>
      </w:r>
      <w:r w:rsidR="00821838" w:rsidRPr="00500A9B">
        <w:rPr>
          <w:rFonts w:asciiTheme="majorHAnsi" w:hAnsiTheme="majorHAnsi"/>
        </w:rPr>
        <w:t xml:space="preserve"> </w:t>
      </w:r>
      <w:r w:rsidR="00500A9B" w:rsidRPr="00500A9B">
        <w:rPr>
          <w:rFonts w:asciiTheme="majorHAnsi" w:hAnsiTheme="majorHAnsi"/>
        </w:rPr>
        <w:t>the company calculates a weighted average wind and hail exclusion credit by:</w:t>
      </w:r>
    </w:p>
    <w:p w:rsidR="00500A9B" w:rsidRDefault="00500A9B" w:rsidP="00AE6DA4">
      <w:pPr>
        <w:spacing w:after="0"/>
        <w:rPr>
          <w:rFonts w:asciiTheme="majorHAnsi" w:hAnsiTheme="majorHAnsi"/>
        </w:rPr>
      </w:pPr>
    </w:p>
    <w:p w:rsidR="00500A9B" w:rsidRDefault="00500A9B" w:rsidP="00500A9B">
      <w:pPr>
        <w:pStyle w:val="ListParagraph"/>
        <w:numPr>
          <w:ilvl w:val="0"/>
          <w:numId w:val="3"/>
        </w:numPr>
        <w:spacing w:after="0"/>
        <w:rPr>
          <w:rFonts w:asciiTheme="majorHAnsi" w:hAnsiTheme="majorHAnsi"/>
        </w:rPr>
      </w:pPr>
      <w:r w:rsidRPr="00500A9B">
        <w:rPr>
          <w:rFonts w:asciiTheme="majorHAnsi" w:hAnsiTheme="majorHAnsi"/>
        </w:rPr>
        <w:t>determin</w:t>
      </w:r>
      <w:r>
        <w:rPr>
          <w:rFonts w:asciiTheme="majorHAnsi" w:hAnsiTheme="majorHAnsi"/>
        </w:rPr>
        <w:t>ing</w:t>
      </w:r>
      <w:r w:rsidRPr="00500A9B">
        <w:rPr>
          <w:rFonts w:asciiTheme="majorHAnsi" w:hAnsiTheme="majorHAnsi"/>
        </w:rPr>
        <w:t xml:space="preserve"> the total premium on policies providing wind coverage for each rating cell with a unique </w:t>
      </w:r>
      <w:r w:rsidR="00FD3954">
        <w:rPr>
          <w:rFonts w:asciiTheme="majorHAnsi" w:hAnsiTheme="majorHAnsi"/>
        </w:rPr>
        <w:t xml:space="preserve">percentage </w:t>
      </w:r>
      <w:r w:rsidRPr="00500A9B">
        <w:rPr>
          <w:rFonts w:asciiTheme="majorHAnsi" w:hAnsiTheme="majorHAnsi"/>
        </w:rPr>
        <w:t>windstorm and hail exclusion credit</w:t>
      </w:r>
      <w:r w:rsidR="00C24056">
        <w:rPr>
          <w:rFonts w:asciiTheme="majorHAnsi" w:hAnsiTheme="majorHAnsi"/>
        </w:rPr>
        <w:t>;</w:t>
      </w:r>
    </w:p>
    <w:p w:rsidR="00500A9B" w:rsidRDefault="00500A9B" w:rsidP="00500A9B">
      <w:pPr>
        <w:pStyle w:val="ListParagraph"/>
        <w:numPr>
          <w:ilvl w:val="0"/>
          <w:numId w:val="3"/>
        </w:numPr>
        <w:spacing w:after="0"/>
        <w:rPr>
          <w:rFonts w:asciiTheme="majorHAnsi" w:hAnsiTheme="majorHAnsi"/>
        </w:rPr>
      </w:pPr>
      <w:r>
        <w:rPr>
          <w:rFonts w:asciiTheme="majorHAnsi" w:hAnsiTheme="majorHAnsi"/>
        </w:rPr>
        <w:t>then</w:t>
      </w:r>
      <w:r w:rsidRPr="00500A9B">
        <w:rPr>
          <w:rFonts w:asciiTheme="majorHAnsi" w:hAnsiTheme="majorHAnsi"/>
        </w:rPr>
        <w:t xml:space="preserve"> multipl</w:t>
      </w:r>
      <w:r w:rsidR="00C54783">
        <w:rPr>
          <w:rFonts w:asciiTheme="majorHAnsi" w:hAnsiTheme="majorHAnsi"/>
        </w:rPr>
        <w:t>ying</w:t>
      </w:r>
      <w:r w:rsidRPr="00500A9B">
        <w:rPr>
          <w:rFonts w:asciiTheme="majorHAnsi" w:hAnsiTheme="majorHAnsi"/>
        </w:rPr>
        <w:t xml:space="preserve"> the</w:t>
      </w:r>
      <w:r w:rsidR="00FD3954">
        <w:rPr>
          <w:rFonts w:asciiTheme="majorHAnsi" w:hAnsiTheme="majorHAnsi"/>
        </w:rPr>
        <w:t xml:space="preserve"> percentage </w:t>
      </w:r>
      <w:r w:rsidRPr="00500A9B">
        <w:rPr>
          <w:rFonts w:asciiTheme="majorHAnsi" w:hAnsiTheme="majorHAnsi"/>
        </w:rPr>
        <w:t xml:space="preserve">windstorm and hail exclusion credit by the corresponding </w:t>
      </w:r>
      <w:r>
        <w:rPr>
          <w:rFonts w:asciiTheme="majorHAnsi" w:hAnsiTheme="majorHAnsi"/>
        </w:rPr>
        <w:t xml:space="preserve">written </w:t>
      </w:r>
      <w:r w:rsidRPr="00500A9B">
        <w:rPr>
          <w:rFonts w:asciiTheme="majorHAnsi" w:hAnsiTheme="majorHAnsi"/>
        </w:rPr>
        <w:t xml:space="preserve">premium </w:t>
      </w:r>
      <w:r w:rsidR="00C54783">
        <w:rPr>
          <w:rFonts w:asciiTheme="majorHAnsi" w:hAnsiTheme="majorHAnsi"/>
        </w:rPr>
        <w:t>for</w:t>
      </w:r>
      <w:r w:rsidRPr="00500A9B">
        <w:rPr>
          <w:rFonts w:asciiTheme="majorHAnsi" w:hAnsiTheme="majorHAnsi"/>
        </w:rPr>
        <w:t xml:space="preserve"> policies covering wind</w:t>
      </w:r>
      <w:r w:rsidR="00C54783">
        <w:rPr>
          <w:rFonts w:asciiTheme="majorHAnsi" w:hAnsiTheme="majorHAnsi"/>
        </w:rPr>
        <w:t xml:space="preserve"> in that rating cell</w:t>
      </w:r>
      <w:r w:rsidR="00C24056">
        <w:rPr>
          <w:rFonts w:asciiTheme="majorHAnsi" w:hAnsiTheme="majorHAnsi"/>
        </w:rPr>
        <w:t>;</w:t>
      </w:r>
    </w:p>
    <w:p w:rsidR="00500A9B" w:rsidRDefault="00500A9B" w:rsidP="00500A9B">
      <w:pPr>
        <w:pStyle w:val="ListParagraph"/>
        <w:numPr>
          <w:ilvl w:val="0"/>
          <w:numId w:val="3"/>
        </w:numPr>
        <w:spacing w:after="0"/>
        <w:rPr>
          <w:rFonts w:asciiTheme="majorHAnsi" w:hAnsiTheme="majorHAnsi"/>
        </w:rPr>
      </w:pPr>
      <w:r>
        <w:rPr>
          <w:rFonts w:asciiTheme="majorHAnsi" w:hAnsiTheme="majorHAnsi"/>
        </w:rPr>
        <w:t>then sum</w:t>
      </w:r>
      <w:r w:rsidR="00C54783">
        <w:rPr>
          <w:rFonts w:asciiTheme="majorHAnsi" w:hAnsiTheme="majorHAnsi"/>
        </w:rPr>
        <w:t>ming</w:t>
      </w:r>
      <w:r>
        <w:rPr>
          <w:rFonts w:asciiTheme="majorHAnsi" w:hAnsiTheme="majorHAnsi"/>
        </w:rPr>
        <w:t xml:space="preserve"> </w:t>
      </w:r>
      <w:r w:rsidRPr="00500A9B">
        <w:rPr>
          <w:rFonts w:asciiTheme="majorHAnsi" w:hAnsiTheme="majorHAnsi"/>
        </w:rPr>
        <w:t>the products</w:t>
      </w:r>
      <w:r w:rsidR="003657D8">
        <w:rPr>
          <w:rFonts w:asciiTheme="majorHAnsi" w:hAnsiTheme="majorHAnsi"/>
        </w:rPr>
        <w:t xml:space="preserve"> from step (2)</w:t>
      </w:r>
      <w:r w:rsidR="00C24056">
        <w:rPr>
          <w:rFonts w:asciiTheme="majorHAnsi" w:hAnsiTheme="majorHAnsi"/>
        </w:rPr>
        <w:t>;</w:t>
      </w:r>
    </w:p>
    <w:p w:rsidR="00C9641F" w:rsidRDefault="00500A9B" w:rsidP="00500A9B">
      <w:pPr>
        <w:pStyle w:val="ListParagraph"/>
        <w:numPr>
          <w:ilvl w:val="0"/>
          <w:numId w:val="3"/>
        </w:numPr>
        <w:spacing w:after="0"/>
        <w:rPr>
          <w:rFonts w:asciiTheme="majorHAnsi" w:hAnsiTheme="majorHAnsi"/>
        </w:rPr>
      </w:pPr>
      <w:r w:rsidRPr="00500A9B">
        <w:rPr>
          <w:rFonts w:asciiTheme="majorHAnsi" w:hAnsiTheme="majorHAnsi"/>
        </w:rPr>
        <w:t>divid</w:t>
      </w:r>
      <w:r w:rsidR="00C54783">
        <w:rPr>
          <w:rFonts w:asciiTheme="majorHAnsi" w:hAnsiTheme="majorHAnsi"/>
        </w:rPr>
        <w:t>ing</w:t>
      </w:r>
      <w:r w:rsidRPr="00500A9B">
        <w:rPr>
          <w:rFonts w:asciiTheme="majorHAnsi" w:hAnsiTheme="majorHAnsi"/>
        </w:rPr>
        <w:t xml:space="preserve"> the sum of the</w:t>
      </w:r>
      <w:r>
        <w:rPr>
          <w:rFonts w:asciiTheme="majorHAnsi" w:hAnsiTheme="majorHAnsi"/>
        </w:rPr>
        <w:t xml:space="preserve"> products by the total premium on policies providing wind coverage for all rating cells</w:t>
      </w:r>
      <w:r w:rsidR="00C24056">
        <w:rPr>
          <w:rFonts w:asciiTheme="majorHAnsi" w:hAnsiTheme="majorHAnsi"/>
        </w:rPr>
        <w:t xml:space="preserve">; </w:t>
      </w:r>
      <w:r>
        <w:rPr>
          <w:rFonts w:asciiTheme="majorHAnsi" w:hAnsiTheme="majorHAnsi"/>
        </w:rPr>
        <w:t>and</w:t>
      </w:r>
    </w:p>
    <w:p w:rsidR="00500A9B" w:rsidRPr="00500A9B" w:rsidRDefault="00500A9B" w:rsidP="00500A9B">
      <w:pPr>
        <w:pStyle w:val="ListParagraph"/>
        <w:numPr>
          <w:ilvl w:val="0"/>
          <w:numId w:val="3"/>
        </w:numPr>
        <w:spacing w:after="0"/>
        <w:rPr>
          <w:rFonts w:asciiTheme="majorHAnsi" w:hAnsiTheme="majorHAnsi"/>
        </w:rPr>
      </w:pPr>
      <w:proofErr w:type="gramStart"/>
      <w:r>
        <w:rPr>
          <w:rFonts w:asciiTheme="majorHAnsi" w:hAnsiTheme="majorHAnsi"/>
        </w:rPr>
        <w:t>subtract</w:t>
      </w:r>
      <w:r w:rsidR="00C54783">
        <w:rPr>
          <w:rFonts w:asciiTheme="majorHAnsi" w:hAnsiTheme="majorHAnsi"/>
        </w:rPr>
        <w:t>ing</w:t>
      </w:r>
      <w:proofErr w:type="gramEnd"/>
      <w:r>
        <w:rPr>
          <w:rFonts w:asciiTheme="majorHAnsi" w:hAnsiTheme="majorHAnsi"/>
        </w:rPr>
        <w:t xml:space="preserve"> the results of step (4) from 1.00.</w:t>
      </w:r>
    </w:p>
    <w:p w:rsidR="00500A9B" w:rsidRDefault="00500A9B" w:rsidP="00500A9B">
      <w:pPr>
        <w:pStyle w:val="ListParagraph"/>
        <w:spacing w:after="0"/>
        <w:ind w:left="1080"/>
        <w:rPr>
          <w:rFonts w:asciiTheme="majorHAnsi" w:hAnsiTheme="majorHAnsi"/>
          <w:u w:val="single"/>
        </w:rPr>
      </w:pPr>
    </w:p>
    <w:p w:rsidR="00451BBB" w:rsidRDefault="00C54783" w:rsidP="00C54783">
      <w:pPr>
        <w:pStyle w:val="ListParagraph"/>
        <w:numPr>
          <w:ilvl w:val="0"/>
          <w:numId w:val="4"/>
        </w:numPr>
        <w:spacing w:after="0"/>
        <w:rPr>
          <w:rFonts w:asciiTheme="majorHAnsi" w:hAnsiTheme="majorHAnsi"/>
        </w:rPr>
      </w:pPr>
      <w:r>
        <w:rPr>
          <w:rFonts w:asciiTheme="majorHAnsi" w:hAnsiTheme="majorHAnsi"/>
        </w:rPr>
        <w:t>For companies that use peril rating algorithms, the company may use a methodology whereby the company</w:t>
      </w:r>
      <w:r w:rsidR="00A70169">
        <w:rPr>
          <w:rFonts w:asciiTheme="majorHAnsi" w:hAnsiTheme="majorHAnsi"/>
        </w:rPr>
        <w:t>:</w:t>
      </w:r>
    </w:p>
    <w:p w:rsidR="00451BBB" w:rsidRDefault="00451BBB" w:rsidP="00451BBB">
      <w:pPr>
        <w:pStyle w:val="ListParagraph"/>
        <w:spacing w:after="0"/>
        <w:rPr>
          <w:rFonts w:asciiTheme="majorHAnsi" w:hAnsiTheme="majorHAnsi"/>
        </w:rPr>
      </w:pPr>
    </w:p>
    <w:p w:rsidR="00451BBB" w:rsidRDefault="00C54783" w:rsidP="00451BBB">
      <w:pPr>
        <w:pStyle w:val="ListParagraph"/>
        <w:numPr>
          <w:ilvl w:val="0"/>
          <w:numId w:val="6"/>
        </w:numPr>
        <w:spacing w:after="0"/>
        <w:rPr>
          <w:rFonts w:asciiTheme="majorHAnsi" w:hAnsiTheme="majorHAnsi"/>
        </w:rPr>
      </w:pPr>
      <w:r>
        <w:rPr>
          <w:rFonts w:asciiTheme="majorHAnsi" w:hAnsiTheme="majorHAnsi"/>
        </w:rPr>
        <w:t xml:space="preserve"> </w:t>
      </w:r>
      <w:r w:rsidR="00451BBB">
        <w:rPr>
          <w:rFonts w:asciiTheme="majorHAnsi" w:hAnsiTheme="majorHAnsi"/>
        </w:rPr>
        <w:t xml:space="preserve">subdivides the </w:t>
      </w:r>
      <w:r w:rsidR="00A70169">
        <w:rPr>
          <w:rFonts w:asciiTheme="majorHAnsi" w:hAnsiTheme="majorHAnsi"/>
        </w:rPr>
        <w:t>population of policies in the catastrophe area</w:t>
      </w:r>
      <w:r w:rsidR="00451BBB">
        <w:rPr>
          <w:rFonts w:asciiTheme="majorHAnsi" w:hAnsiTheme="majorHAnsi"/>
        </w:rPr>
        <w:t xml:space="preserve"> into rating groups where</w:t>
      </w:r>
    </w:p>
    <w:p w:rsidR="00C54783" w:rsidRDefault="00451BBB" w:rsidP="00451BBB">
      <w:pPr>
        <w:pStyle w:val="ListParagraph"/>
        <w:numPr>
          <w:ilvl w:val="1"/>
          <w:numId w:val="6"/>
        </w:numPr>
        <w:spacing w:after="0"/>
        <w:rPr>
          <w:rFonts w:asciiTheme="majorHAnsi" w:hAnsiTheme="majorHAnsi"/>
        </w:rPr>
      </w:pPr>
      <w:r>
        <w:rPr>
          <w:rFonts w:asciiTheme="majorHAnsi" w:hAnsiTheme="majorHAnsi"/>
        </w:rPr>
        <w:t xml:space="preserve">there is little variation in the ratio of the windstorm, hurricane, and hail peril premium to the total premium </w:t>
      </w:r>
      <w:r w:rsidR="004A7E29" w:rsidRPr="004A7E29">
        <w:rPr>
          <w:rFonts w:asciiTheme="majorHAnsi" w:hAnsiTheme="majorHAnsi"/>
          <w:b/>
        </w:rPr>
        <w:t>within</w:t>
      </w:r>
      <w:r>
        <w:rPr>
          <w:rFonts w:asciiTheme="majorHAnsi" w:hAnsiTheme="majorHAnsi"/>
        </w:rPr>
        <w:t xml:space="preserve"> a rating group</w:t>
      </w:r>
    </w:p>
    <w:p w:rsidR="00451BBB" w:rsidRDefault="00451BBB" w:rsidP="00451BBB">
      <w:pPr>
        <w:pStyle w:val="ListParagraph"/>
        <w:numPr>
          <w:ilvl w:val="1"/>
          <w:numId w:val="6"/>
        </w:numPr>
        <w:spacing w:after="0"/>
        <w:rPr>
          <w:rFonts w:asciiTheme="majorHAnsi" w:hAnsiTheme="majorHAnsi"/>
        </w:rPr>
      </w:pPr>
      <w:r>
        <w:rPr>
          <w:rFonts w:asciiTheme="majorHAnsi" w:hAnsiTheme="majorHAnsi"/>
        </w:rPr>
        <w:t xml:space="preserve">there are policies where the company excludes wind in each </w:t>
      </w:r>
      <w:r w:rsidR="00A70169">
        <w:rPr>
          <w:rFonts w:asciiTheme="majorHAnsi" w:hAnsiTheme="majorHAnsi"/>
        </w:rPr>
        <w:t>rating group</w:t>
      </w:r>
      <w:r w:rsidR="00431A1A">
        <w:rPr>
          <w:rFonts w:asciiTheme="majorHAnsi" w:hAnsiTheme="majorHAnsi"/>
        </w:rPr>
        <w:t>,</w:t>
      </w:r>
      <w:r>
        <w:rPr>
          <w:rFonts w:asciiTheme="majorHAnsi" w:hAnsiTheme="majorHAnsi"/>
        </w:rPr>
        <w:t xml:space="preserve"> and</w:t>
      </w:r>
    </w:p>
    <w:p w:rsidR="00451BBB" w:rsidRDefault="00A70169" w:rsidP="00451BBB">
      <w:pPr>
        <w:pStyle w:val="ListParagraph"/>
        <w:numPr>
          <w:ilvl w:val="1"/>
          <w:numId w:val="6"/>
        </w:numPr>
        <w:spacing w:after="0"/>
        <w:rPr>
          <w:rFonts w:asciiTheme="majorHAnsi" w:hAnsiTheme="majorHAnsi"/>
        </w:rPr>
      </w:pPr>
      <w:r>
        <w:rPr>
          <w:rFonts w:asciiTheme="majorHAnsi" w:hAnsiTheme="majorHAnsi"/>
        </w:rPr>
        <w:t xml:space="preserve">in each rating group, </w:t>
      </w:r>
      <w:r w:rsidR="00451BBB">
        <w:rPr>
          <w:rFonts w:asciiTheme="majorHAnsi" w:hAnsiTheme="majorHAnsi"/>
        </w:rPr>
        <w:t>the average risk characteristic (</w:t>
      </w:r>
      <w:r w:rsidR="00C24056">
        <w:rPr>
          <w:rFonts w:asciiTheme="majorHAnsi" w:hAnsiTheme="majorHAnsi"/>
        </w:rPr>
        <w:t>for example</w:t>
      </w:r>
      <w:r w:rsidR="00451BBB">
        <w:rPr>
          <w:rFonts w:asciiTheme="majorHAnsi" w:hAnsiTheme="majorHAnsi"/>
        </w:rPr>
        <w:t>, amount of insurance, construction type, tier, credit score, etc.) for the population of policies where the company excludes wind is reasonably similar to the average risk characteristic for the population of policies where the company includes wind.</w:t>
      </w:r>
    </w:p>
    <w:p w:rsidR="00451BBB" w:rsidRDefault="00A70169" w:rsidP="00451BBB">
      <w:pPr>
        <w:pStyle w:val="ListParagraph"/>
        <w:numPr>
          <w:ilvl w:val="0"/>
          <w:numId w:val="6"/>
        </w:numPr>
        <w:spacing w:after="0"/>
        <w:rPr>
          <w:rFonts w:asciiTheme="majorHAnsi" w:hAnsiTheme="majorHAnsi"/>
        </w:rPr>
      </w:pPr>
      <w:r>
        <w:rPr>
          <w:rFonts w:asciiTheme="majorHAnsi" w:hAnsiTheme="majorHAnsi"/>
        </w:rPr>
        <w:t>calculates an average premium in each rating group separately for policies covering wind and policies excluding wind;</w:t>
      </w:r>
    </w:p>
    <w:p w:rsidR="00A70169" w:rsidRDefault="00A70169" w:rsidP="00451BBB">
      <w:pPr>
        <w:pStyle w:val="ListParagraph"/>
        <w:numPr>
          <w:ilvl w:val="0"/>
          <w:numId w:val="6"/>
        </w:numPr>
        <w:spacing w:after="0"/>
        <w:rPr>
          <w:rFonts w:asciiTheme="majorHAnsi" w:hAnsiTheme="majorHAnsi"/>
        </w:rPr>
      </w:pPr>
      <w:r>
        <w:rPr>
          <w:rFonts w:asciiTheme="majorHAnsi" w:hAnsiTheme="majorHAnsi"/>
        </w:rPr>
        <w:lastRenderedPageBreak/>
        <w:t>calculates the average premium credit for each rating group as 1.00 minus the ratio of the average premium for policies excluding wind divided by the average premium for policies including wind; and</w:t>
      </w:r>
    </w:p>
    <w:p w:rsidR="00A70169" w:rsidRDefault="00A70169" w:rsidP="00451BBB">
      <w:pPr>
        <w:pStyle w:val="ListParagraph"/>
        <w:numPr>
          <w:ilvl w:val="0"/>
          <w:numId w:val="6"/>
        </w:numPr>
        <w:spacing w:after="0"/>
        <w:rPr>
          <w:rFonts w:asciiTheme="majorHAnsi" w:hAnsiTheme="majorHAnsi"/>
        </w:rPr>
      </w:pPr>
      <w:r>
        <w:rPr>
          <w:rFonts w:asciiTheme="majorHAnsi" w:hAnsiTheme="majorHAnsi"/>
        </w:rPr>
        <w:t xml:space="preserve">calculates the final average credit for policies excluding wind and hail coverage as the weighted average of the </w:t>
      </w:r>
      <w:r w:rsidR="00FD3954">
        <w:rPr>
          <w:rFonts w:asciiTheme="majorHAnsi" w:hAnsiTheme="majorHAnsi"/>
        </w:rPr>
        <w:t xml:space="preserve">average </w:t>
      </w:r>
      <w:r>
        <w:rPr>
          <w:rFonts w:asciiTheme="majorHAnsi" w:hAnsiTheme="majorHAnsi"/>
        </w:rPr>
        <w:t>premium credit in each rating group, using the premium on policies providing wind in each rating group</w:t>
      </w:r>
      <w:r w:rsidR="009664A1">
        <w:rPr>
          <w:rFonts w:asciiTheme="majorHAnsi" w:hAnsiTheme="majorHAnsi"/>
        </w:rPr>
        <w:t xml:space="preserve"> for weights</w:t>
      </w:r>
      <w:r>
        <w:rPr>
          <w:rFonts w:asciiTheme="majorHAnsi" w:hAnsiTheme="majorHAnsi"/>
        </w:rPr>
        <w:t>, similar to the procedure described in steps (2) through (5) of method II.</w:t>
      </w:r>
    </w:p>
    <w:p w:rsidR="00380FE9" w:rsidRDefault="00380FE9" w:rsidP="00380FE9">
      <w:pPr>
        <w:spacing w:after="0"/>
        <w:rPr>
          <w:rFonts w:asciiTheme="majorHAnsi" w:hAnsiTheme="majorHAnsi"/>
        </w:rPr>
      </w:pPr>
    </w:p>
    <w:p w:rsidR="00380FE9" w:rsidRPr="00380FE9" w:rsidRDefault="00380FE9" w:rsidP="00380FE9">
      <w:pPr>
        <w:spacing w:after="0"/>
        <w:ind w:left="720"/>
        <w:rPr>
          <w:rFonts w:asciiTheme="majorHAnsi" w:hAnsiTheme="majorHAnsi"/>
        </w:rPr>
      </w:pPr>
      <w:r>
        <w:rPr>
          <w:rFonts w:asciiTheme="majorHAnsi" w:hAnsiTheme="majorHAnsi"/>
        </w:rPr>
        <w:t xml:space="preserve">Companies that use method III must also describe on the </w:t>
      </w:r>
      <w:r>
        <w:rPr>
          <w:rFonts w:asciiTheme="majorHAnsi" w:hAnsiTheme="majorHAnsi"/>
          <w:i/>
        </w:rPr>
        <w:t>Methodology Description Form</w:t>
      </w:r>
      <w:r>
        <w:rPr>
          <w:rFonts w:asciiTheme="majorHAnsi" w:hAnsiTheme="majorHAnsi"/>
        </w:rPr>
        <w:t xml:space="preserve"> the rating groups it used, and the tests it performed to ensure the populations including and excluding wind had similar average risk characteristics.</w:t>
      </w:r>
    </w:p>
    <w:p w:rsidR="00A70169" w:rsidRPr="00C54783" w:rsidRDefault="00A70169" w:rsidP="00A70169">
      <w:pPr>
        <w:pStyle w:val="ListParagraph"/>
        <w:spacing w:after="0"/>
        <w:ind w:left="1080"/>
        <w:rPr>
          <w:rFonts w:asciiTheme="majorHAnsi" w:hAnsiTheme="majorHAnsi"/>
        </w:rPr>
      </w:pPr>
    </w:p>
    <w:p w:rsidR="00F45EB7" w:rsidRDefault="00C24056" w:rsidP="009D039B">
      <w:pPr>
        <w:spacing w:after="0"/>
        <w:rPr>
          <w:rFonts w:asciiTheme="majorHAnsi" w:hAnsiTheme="majorHAnsi"/>
          <w:b/>
          <w:u w:val="single"/>
        </w:rPr>
      </w:pPr>
      <w:r w:rsidRPr="00F45EB7">
        <w:rPr>
          <w:rFonts w:asciiTheme="majorHAnsi" w:hAnsiTheme="majorHAnsi"/>
          <w:b/>
          <w:u w:val="single"/>
        </w:rPr>
        <w:t>W</w:t>
      </w:r>
      <w:r>
        <w:rPr>
          <w:rFonts w:asciiTheme="majorHAnsi" w:hAnsiTheme="majorHAnsi"/>
          <w:b/>
          <w:u w:val="single"/>
        </w:rPr>
        <w:t xml:space="preserve">ork </w:t>
      </w:r>
      <w:r w:rsidRPr="00F45EB7">
        <w:rPr>
          <w:rFonts w:asciiTheme="majorHAnsi" w:hAnsiTheme="majorHAnsi"/>
          <w:b/>
          <w:u w:val="single"/>
        </w:rPr>
        <w:t>P</w:t>
      </w:r>
      <w:r>
        <w:rPr>
          <w:rFonts w:asciiTheme="majorHAnsi" w:hAnsiTheme="majorHAnsi"/>
          <w:b/>
          <w:u w:val="single"/>
        </w:rPr>
        <w:t>apers</w:t>
      </w:r>
    </w:p>
    <w:p w:rsidR="007A3F7E" w:rsidRDefault="00103AF3">
      <w:pPr>
        <w:spacing w:after="0"/>
        <w:rPr>
          <w:rFonts w:asciiTheme="majorHAnsi" w:hAnsiTheme="majorHAnsi"/>
        </w:rPr>
      </w:pPr>
      <w:r w:rsidRPr="00103AF3">
        <w:rPr>
          <w:rFonts w:asciiTheme="majorHAnsi" w:hAnsiTheme="majorHAnsi"/>
        </w:rPr>
        <w:t>Insurers must maintain work papers used to calculate their average credit for excluding windstorm and hail coverage until D</w:t>
      </w:r>
      <w:r w:rsidR="00393E1C">
        <w:rPr>
          <w:rFonts w:asciiTheme="majorHAnsi" w:hAnsiTheme="majorHAnsi"/>
        </w:rPr>
        <w:t xml:space="preserve">ecember 31, </w:t>
      </w:r>
      <w:r w:rsidR="000C0B99">
        <w:rPr>
          <w:rFonts w:asciiTheme="majorHAnsi" w:hAnsiTheme="majorHAnsi"/>
        </w:rPr>
        <w:t>2016</w:t>
      </w:r>
      <w:r w:rsidR="00393E1C">
        <w:rPr>
          <w:rFonts w:asciiTheme="majorHAnsi" w:hAnsiTheme="majorHAnsi"/>
        </w:rPr>
        <w:t xml:space="preserve">.  TDI </w:t>
      </w:r>
      <w:r w:rsidRPr="00103AF3">
        <w:rPr>
          <w:rFonts w:asciiTheme="majorHAnsi" w:hAnsiTheme="majorHAnsi"/>
        </w:rPr>
        <w:t xml:space="preserve">may request </w:t>
      </w:r>
      <w:r w:rsidR="00431A1A">
        <w:rPr>
          <w:rFonts w:asciiTheme="majorHAnsi" w:hAnsiTheme="majorHAnsi"/>
        </w:rPr>
        <w:t xml:space="preserve">that </w:t>
      </w:r>
      <w:r w:rsidRPr="00103AF3">
        <w:rPr>
          <w:rFonts w:asciiTheme="majorHAnsi" w:hAnsiTheme="majorHAnsi"/>
        </w:rPr>
        <w:t xml:space="preserve">the company provide their work papers as part of </w:t>
      </w:r>
      <w:r w:rsidR="001A5476">
        <w:rPr>
          <w:rFonts w:asciiTheme="majorHAnsi" w:hAnsiTheme="majorHAnsi"/>
        </w:rPr>
        <w:t>its</w:t>
      </w:r>
      <w:r w:rsidRPr="00103AF3">
        <w:rPr>
          <w:rFonts w:asciiTheme="majorHAnsi" w:hAnsiTheme="majorHAnsi"/>
        </w:rPr>
        <w:t xml:space="preserve"> review of </w:t>
      </w:r>
      <w:r w:rsidR="00445A9A">
        <w:rPr>
          <w:rFonts w:asciiTheme="majorHAnsi" w:hAnsiTheme="majorHAnsi"/>
        </w:rPr>
        <w:t xml:space="preserve">the </w:t>
      </w:r>
      <w:r w:rsidRPr="00103AF3">
        <w:rPr>
          <w:rFonts w:asciiTheme="majorHAnsi" w:hAnsiTheme="majorHAnsi"/>
        </w:rPr>
        <w:t>company’s submission.</w:t>
      </w:r>
    </w:p>
    <w:p w:rsidR="00F45EB7" w:rsidRDefault="00F45EB7" w:rsidP="00AE6DA4">
      <w:pPr>
        <w:spacing w:after="0"/>
        <w:rPr>
          <w:rFonts w:asciiTheme="majorHAnsi" w:hAnsiTheme="majorHAnsi"/>
          <w:b/>
          <w:u w:val="single"/>
        </w:rPr>
      </w:pPr>
    </w:p>
    <w:p w:rsidR="00F45EB7" w:rsidRDefault="00C24056" w:rsidP="00AE6DA4">
      <w:pPr>
        <w:spacing w:after="0"/>
        <w:rPr>
          <w:rFonts w:asciiTheme="majorHAnsi" w:hAnsiTheme="majorHAnsi"/>
          <w:b/>
          <w:u w:val="single"/>
        </w:rPr>
      </w:pPr>
      <w:r>
        <w:rPr>
          <w:rFonts w:asciiTheme="majorHAnsi" w:hAnsiTheme="majorHAnsi"/>
          <w:b/>
          <w:u w:val="single"/>
        </w:rPr>
        <w:t xml:space="preserve">Data Subject to Chapter </w:t>
      </w:r>
      <w:r w:rsidR="007A3F7E">
        <w:rPr>
          <w:rFonts w:asciiTheme="majorHAnsi" w:hAnsiTheme="majorHAnsi"/>
          <w:b/>
          <w:u w:val="single"/>
        </w:rPr>
        <w:t xml:space="preserve">552, </w:t>
      </w:r>
      <w:r>
        <w:rPr>
          <w:rFonts w:asciiTheme="majorHAnsi" w:hAnsiTheme="majorHAnsi"/>
          <w:b/>
          <w:u w:val="single"/>
        </w:rPr>
        <w:t xml:space="preserve">Government Code </w:t>
      </w:r>
      <w:r w:rsidR="007A3F7E">
        <w:rPr>
          <w:rFonts w:asciiTheme="majorHAnsi" w:hAnsiTheme="majorHAnsi"/>
          <w:b/>
          <w:u w:val="single"/>
        </w:rPr>
        <w:t>(</w:t>
      </w:r>
      <w:r>
        <w:rPr>
          <w:rFonts w:asciiTheme="majorHAnsi" w:hAnsiTheme="majorHAnsi"/>
          <w:b/>
          <w:u w:val="single"/>
        </w:rPr>
        <w:t>Public Information Act</w:t>
      </w:r>
      <w:r w:rsidR="007A3F7E">
        <w:rPr>
          <w:rFonts w:asciiTheme="majorHAnsi" w:hAnsiTheme="majorHAnsi"/>
          <w:b/>
          <w:u w:val="single"/>
        </w:rPr>
        <w:t>)</w:t>
      </w:r>
    </w:p>
    <w:p w:rsidR="00677A45" w:rsidRPr="00103AF3" w:rsidRDefault="00677A45" w:rsidP="00AE6DA4">
      <w:pPr>
        <w:spacing w:after="0"/>
        <w:rPr>
          <w:rFonts w:asciiTheme="majorHAnsi" w:hAnsiTheme="majorHAnsi"/>
        </w:rPr>
      </w:pPr>
      <w:r>
        <w:rPr>
          <w:rFonts w:asciiTheme="majorHAnsi" w:hAnsiTheme="majorHAnsi"/>
        </w:rPr>
        <w:t xml:space="preserve">The information provided in the </w:t>
      </w:r>
      <w:r w:rsidR="00FA54B2" w:rsidRPr="00FA54B2">
        <w:rPr>
          <w:rFonts w:asciiTheme="majorHAnsi" w:hAnsiTheme="majorHAnsi"/>
          <w:i/>
        </w:rPr>
        <w:t>Transmittal Form</w:t>
      </w:r>
      <w:r>
        <w:rPr>
          <w:rFonts w:asciiTheme="majorHAnsi" w:hAnsiTheme="majorHAnsi"/>
        </w:rPr>
        <w:t xml:space="preserve">, </w:t>
      </w:r>
      <w:r w:rsidR="00FA54B2" w:rsidRPr="00FA54B2">
        <w:rPr>
          <w:rFonts w:asciiTheme="majorHAnsi" w:hAnsiTheme="majorHAnsi"/>
          <w:i/>
        </w:rPr>
        <w:t>Data Reporting Form</w:t>
      </w:r>
      <w:r>
        <w:rPr>
          <w:rFonts w:asciiTheme="majorHAnsi" w:hAnsiTheme="majorHAnsi"/>
        </w:rPr>
        <w:t xml:space="preserve">, and </w:t>
      </w:r>
      <w:r w:rsidR="00FA54B2" w:rsidRPr="00FA54B2">
        <w:rPr>
          <w:rFonts w:asciiTheme="majorHAnsi" w:hAnsiTheme="majorHAnsi"/>
          <w:i/>
        </w:rPr>
        <w:t>Methodology Description Form</w:t>
      </w:r>
      <w:r>
        <w:rPr>
          <w:rFonts w:asciiTheme="majorHAnsi" w:hAnsiTheme="majorHAnsi"/>
        </w:rPr>
        <w:t xml:space="preserve"> </w:t>
      </w:r>
      <w:r w:rsidR="00FA54B2">
        <w:rPr>
          <w:rFonts w:asciiTheme="majorHAnsi" w:hAnsiTheme="majorHAnsi"/>
        </w:rPr>
        <w:t xml:space="preserve">is </w:t>
      </w:r>
      <w:r>
        <w:rPr>
          <w:rFonts w:asciiTheme="majorHAnsi" w:hAnsiTheme="majorHAnsi"/>
        </w:rPr>
        <w:t>subject to public disclosure under Ch</w:t>
      </w:r>
      <w:r w:rsidR="00FA54B2">
        <w:rPr>
          <w:rFonts w:asciiTheme="majorHAnsi" w:hAnsiTheme="majorHAnsi"/>
        </w:rPr>
        <w:t>apter</w:t>
      </w:r>
      <w:r>
        <w:rPr>
          <w:rFonts w:asciiTheme="majorHAnsi" w:hAnsiTheme="majorHAnsi"/>
        </w:rPr>
        <w:t xml:space="preserve"> 552, Gov</w:t>
      </w:r>
      <w:r w:rsidR="00FA54B2">
        <w:rPr>
          <w:rFonts w:asciiTheme="majorHAnsi" w:hAnsiTheme="majorHAnsi"/>
        </w:rPr>
        <w:t>ernmen</w:t>
      </w:r>
      <w:r>
        <w:rPr>
          <w:rFonts w:asciiTheme="majorHAnsi" w:hAnsiTheme="majorHAnsi"/>
        </w:rPr>
        <w:t>t Code, including the exemptions from public disclosure contained under Subchapter C of Chapter 552.  Insurers that believe the information provided in the data call is confidential or otherwise exempt from public disclosure under Ch</w:t>
      </w:r>
      <w:r w:rsidR="00FA54B2">
        <w:rPr>
          <w:rFonts w:asciiTheme="majorHAnsi" w:hAnsiTheme="majorHAnsi"/>
        </w:rPr>
        <w:t>apter</w:t>
      </w:r>
      <w:r>
        <w:rPr>
          <w:rFonts w:asciiTheme="majorHAnsi" w:hAnsiTheme="majorHAnsi"/>
        </w:rPr>
        <w:t xml:space="preserve"> 552 must indicate so.  However, </w:t>
      </w:r>
      <w:r w:rsidR="00AF3107">
        <w:rPr>
          <w:rFonts w:asciiTheme="majorHAnsi" w:hAnsiTheme="majorHAnsi"/>
        </w:rPr>
        <w:t>since TWIA is also subject to Ch</w:t>
      </w:r>
      <w:r w:rsidR="00FA54B2">
        <w:rPr>
          <w:rFonts w:asciiTheme="majorHAnsi" w:hAnsiTheme="majorHAnsi"/>
        </w:rPr>
        <w:t>apter</w:t>
      </w:r>
      <w:r w:rsidR="00AF3107">
        <w:rPr>
          <w:rFonts w:asciiTheme="majorHAnsi" w:hAnsiTheme="majorHAnsi"/>
        </w:rPr>
        <w:t xml:space="preserve"> 552, </w:t>
      </w:r>
      <w:r>
        <w:rPr>
          <w:rFonts w:asciiTheme="majorHAnsi" w:hAnsiTheme="majorHAnsi"/>
        </w:rPr>
        <w:t xml:space="preserve">TDI will </w:t>
      </w:r>
      <w:r w:rsidR="001C43A1">
        <w:rPr>
          <w:rFonts w:asciiTheme="majorHAnsi" w:hAnsiTheme="majorHAnsi"/>
        </w:rPr>
        <w:t>share</w:t>
      </w:r>
      <w:r>
        <w:rPr>
          <w:rFonts w:asciiTheme="majorHAnsi" w:hAnsiTheme="majorHAnsi"/>
        </w:rPr>
        <w:t xml:space="preserve"> all data call submissions</w:t>
      </w:r>
      <w:r w:rsidR="0069151A">
        <w:rPr>
          <w:rFonts w:asciiTheme="majorHAnsi" w:hAnsiTheme="majorHAnsi"/>
        </w:rPr>
        <w:t xml:space="preserve"> </w:t>
      </w:r>
      <w:r w:rsidR="001C43A1">
        <w:rPr>
          <w:rFonts w:asciiTheme="majorHAnsi" w:hAnsiTheme="majorHAnsi"/>
        </w:rPr>
        <w:t>with</w:t>
      </w:r>
      <w:r w:rsidR="0069151A">
        <w:rPr>
          <w:rFonts w:asciiTheme="majorHAnsi" w:hAnsiTheme="majorHAnsi"/>
        </w:rPr>
        <w:t xml:space="preserve"> TWIA</w:t>
      </w:r>
      <w:r w:rsidR="009A6C30">
        <w:rPr>
          <w:rFonts w:asciiTheme="majorHAnsi" w:hAnsiTheme="majorHAnsi"/>
        </w:rPr>
        <w:t>, even submissions marked confidential or exempt from public</w:t>
      </w:r>
      <w:r w:rsidR="00270D02">
        <w:rPr>
          <w:rFonts w:asciiTheme="majorHAnsi" w:hAnsiTheme="majorHAnsi"/>
        </w:rPr>
        <w:t xml:space="preserve"> disclosure</w:t>
      </w:r>
      <w:r w:rsidR="00B5639C">
        <w:rPr>
          <w:rFonts w:asciiTheme="majorHAnsi" w:hAnsiTheme="majorHAnsi"/>
        </w:rPr>
        <w:t>.</w:t>
      </w:r>
    </w:p>
    <w:p w:rsidR="00DC5C08" w:rsidRDefault="00DC5C08" w:rsidP="00AE6DA4">
      <w:pPr>
        <w:spacing w:after="0"/>
        <w:rPr>
          <w:rFonts w:asciiTheme="majorHAnsi" w:hAnsiTheme="majorHAnsi"/>
          <w:b/>
        </w:rPr>
      </w:pPr>
    </w:p>
    <w:p w:rsidR="00DC5C08" w:rsidRDefault="00FD0A21" w:rsidP="00AE6DA4">
      <w:pPr>
        <w:spacing w:after="0"/>
        <w:rPr>
          <w:rFonts w:asciiTheme="majorHAnsi" w:hAnsiTheme="majorHAnsi"/>
          <w:b/>
          <w:u w:val="single"/>
        </w:rPr>
      </w:pPr>
      <w:r w:rsidRPr="00DC5C08">
        <w:rPr>
          <w:rFonts w:asciiTheme="majorHAnsi" w:hAnsiTheme="majorHAnsi"/>
          <w:b/>
          <w:u w:val="single"/>
        </w:rPr>
        <w:t>S</w:t>
      </w:r>
      <w:r>
        <w:rPr>
          <w:rFonts w:asciiTheme="majorHAnsi" w:hAnsiTheme="majorHAnsi"/>
          <w:b/>
          <w:u w:val="single"/>
        </w:rPr>
        <w:t>ubmission</w:t>
      </w:r>
      <w:r w:rsidRPr="00DC5C08">
        <w:rPr>
          <w:rFonts w:asciiTheme="majorHAnsi" w:hAnsiTheme="majorHAnsi"/>
          <w:b/>
          <w:u w:val="single"/>
        </w:rPr>
        <w:t xml:space="preserve"> </w:t>
      </w:r>
      <w:r>
        <w:rPr>
          <w:rFonts w:asciiTheme="majorHAnsi" w:hAnsiTheme="majorHAnsi"/>
          <w:b/>
          <w:u w:val="single"/>
        </w:rPr>
        <w:t xml:space="preserve">Information and </w:t>
      </w:r>
      <w:r w:rsidRPr="00DC5C08">
        <w:rPr>
          <w:rFonts w:asciiTheme="majorHAnsi" w:hAnsiTheme="majorHAnsi"/>
          <w:b/>
          <w:u w:val="single"/>
        </w:rPr>
        <w:t>D</w:t>
      </w:r>
      <w:r>
        <w:rPr>
          <w:rFonts w:asciiTheme="majorHAnsi" w:hAnsiTheme="majorHAnsi"/>
          <w:b/>
          <w:u w:val="single"/>
        </w:rPr>
        <w:t>eadline</w:t>
      </w:r>
    </w:p>
    <w:p w:rsidR="009061BE" w:rsidRDefault="0073549B" w:rsidP="00AE6DA4">
      <w:pPr>
        <w:spacing w:after="0"/>
        <w:rPr>
          <w:rFonts w:asciiTheme="majorHAnsi" w:hAnsiTheme="majorHAnsi"/>
        </w:rPr>
      </w:pPr>
      <w:r>
        <w:rPr>
          <w:rFonts w:asciiTheme="majorHAnsi" w:hAnsiTheme="majorHAnsi"/>
        </w:rPr>
        <w:t>Companies must submit the completed data call t</w:t>
      </w:r>
      <w:r w:rsidR="00393E1C">
        <w:rPr>
          <w:rFonts w:asciiTheme="majorHAnsi" w:hAnsiTheme="majorHAnsi"/>
        </w:rPr>
        <w:t xml:space="preserve">o TDI </w:t>
      </w:r>
      <w:r w:rsidR="001A5476" w:rsidRPr="001A5476">
        <w:rPr>
          <w:rFonts w:asciiTheme="majorHAnsi" w:hAnsiTheme="majorHAnsi"/>
        </w:rPr>
        <w:t xml:space="preserve">on or before </w:t>
      </w:r>
      <w:r w:rsidR="0012179C">
        <w:rPr>
          <w:rFonts w:asciiTheme="majorHAnsi" w:hAnsiTheme="majorHAnsi"/>
        </w:rPr>
        <w:t>December</w:t>
      </w:r>
      <w:r w:rsidR="0012179C" w:rsidRPr="001A5476">
        <w:rPr>
          <w:rFonts w:asciiTheme="majorHAnsi" w:hAnsiTheme="majorHAnsi"/>
        </w:rPr>
        <w:t xml:space="preserve"> </w:t>
      </w:r>
      <w:r w:rsidR="00F9257A">
        <w:rPr>
          <w:rFonts w:asciiTheme="majorHAnsi" w:hAnsiTheme="majorHAnsi"/>
        </w:rPr>
        <w:t>31</w:t>
      </w:r>
      <w:r w:rsidR="001A5476" w:rsidRPr="001A5476">
        <w:rPr>
          <w:rFonts w:asciiTheme="majorHAnsi" w:hAnsiTheme="majorHAnsi"/>
        </w:rPr>
        <w:t xml:space="preserve">, 2013.  </w:t>
      </w:r>
    </w:p>
    <w:p w:rsidR="007E1512" w:rsidRDefault="007E1512" w:rsidP="00AE6DA4">
      <w:pPr>
        <w:spacing w:after="0"/>
        <w:rPr>
          <w:rFonts w:asciiTheme="majorHAnsi" w:hAnsiTheme="majorHAnsi"/>
        </w:rPr>
      </w:pPr>
    </w:p>
    <w:p w:rsidR="001A5476" w:rsidRDefault="00086C84" w:rsidP="00AE6DA4">
      <w:pPr>
        <w:spacing w:after="0"/>
        <w:rPr>
          <w:rFonts w:asciiTheme="majorHAnsi" w:hAnsiTheme="majorHAnsi"/>
        </w:rPr>
      </w:pPr>
      <w:r>
        <w:rPr>
          <w:rFonts w:asciiTheme="majorHAnsi" w:hAnsiTheme="majorHAnsi"/>
        </w:rPr>
        <w:t xml:space="preserve">Companies must email an </w:t>
      </w:r>
      <w:r w:rsidR="001A5476" w:rsidRPr="001A5476">
        <w:rPr>
          <w:rFonts w:asciiTheme="majorHAnsi" w:hAnsiTheme="majorHAnsi"/>
        </w:rPr>
        <w:t>electronic version of the</w:t>
      </w:r>
      <w:r>
        <w:rPr>
          <w:rFonts w:asciiTheme="majorHAnsi" w:hAnsiTheme="majorHAnsi"/>
        </w:rPr>
        <w:t>ir</w:t>
      </w:r>
      <w:r w:rsidR="001A5476" w:rsidRPr="001A5476">
        <w:rPr>
          <w:rFonts w:asciiTheme="majorHAnsi" w:hAnsiTheme="majorHAnsi"/>
        </w:rPr>
        <w:t xml:space="preserve"> response to the data call to Brian Ryder at </w:t>
      </w:r>
      <w:r w:rsidR="004A7E29" w:rsidRPr="004A7E29">
        <w:rPr>
          <w:rFonts w:asciiTheme="majorHAnsi" w:hAnsiTheme="majorHAnsi"/>
          <w:color w:val="0000FF"/>
        </w:rPr>
        <w:t>brian.ryder@tdi.texas.gov</w:t>
      </w:r>
      <w:r w:rsidR="001A5476" w:rsidRPr="001A5476">
        <w:rPr>
          <w:rFonts w:asciiTheme="majorHAnsi" w:hAnsiTheme="majorHAnsi"/>
        </w:rPr>
        <w:t xml:space="preserve">.  Submissions must be in MS Excel, MS Word, or other spreadsheet or word processing software that is compatible with MS Excel or MS Word.  </w:t>
      </w:r>
      <w:r w:rsidR="001A5476">
        <w:rPr>
          <w:rFonts w:asciiTheme="majorHAnsi" w:hAnsiTheme="majorHAnsi"/>
        </w:rPr>
        <w:t>TDI will not accept f</w:t>
      </w:r>
      <w:r w:rsidR="001A5476" w:rsidRPr="001A5476">
        <w:rPr>
          <w:rFonts w:asciiTheme="majorHAnsi" w:hAnsiTheme="majorHAnsi"/>
        </w:rPr>
        <w:t xml:space="preserve">iles </w:t>
      </w:r>
      <w:r w:rsidR="001A5476">
        <w:rPr>
          <w:rFonts w:asciiTheme="majorHAnsi" w:hAnsiTheme="majorHAnsi"/>
        </w:rPr>
        <w:t xml:space="preserve">in </w:t>
      </w:r>
      <w:r w:rsidR="00431A1A">
        <w:rPr>
          <w:rFonts w:asciiTheme="majorHAnsi" w:hAnsiTheme="majorHAnsi"/>
        </w:rPr>
        <w:t>PDF</w:t>
      </w:r>
      <w:r w:rsidR="001A5476">
        <w:rPr>
          <w:rFonts w:asciiTheme="majorHAnsi" w:hAnsiTheme="majorHAnsi"/>
        </w:rPr>
        <w:t xml:space="preserve">, </w:t>
      </w:r>
      <w:r w:rsidR="00431A1A">
        <w:rPr>
          <w:rFonts w:asciiTheme="majorHAnsi" w:hAnsiTheme="majorHAnsi"/>
        </w:rPr>
        <w:t>GIF</w:t>
      </w:r>
      <w:r w:rsidR="001A5476">
        <w:rPr>
          <w:rFonts w:asciiTheme="majorHAnsi" w:hAnsiTheme="majorHAnsi"/>
        </w:rPr>
        <w:t xml:space="preserve">, </w:t>
      </w:r>
      <w:r w:rsidR="00431A1A">
        <w:rPr>
          <w:rFonts w:asciiTheme="majorHAnsi" w:hAnsiTheme="majorHAnsi"/>
        </w:rPr>
        <w:t>JPEG</w:t>
      </w:r>
      <w:r w:rsidR="00102B7C">
        <w:rPr>
          <w:rFonts w:asciiTheme="majorHAnsi" w:hAnsiTheme="majorHAnsi"/>
        </w:rPr>
        <w:t>,</w:t>
      </w:r>
      <w:r w:rsidR="001A5476">
        <w:rPr>
          <w:rFonts w:asciiTheme="majorHAnsi" w:hAnsiTheme="majorHAnsi"/>
        </w:rPr>
        <w:t xml:space="preserve"> </w:t>
      </w:r>
      <w:r w:rsidR="00431A1A">
        <w:rPr>
          <w:rFonts w:asciiTheme="majorHAnsi" w:hAnsiTheme="majorHAnsi"/>
        </w:rPr>
        <w:t>TIF</w:t>
      </w:r>
      <w:r w:rsidR="001A5476">
        <w:rPr>
          <w:rFonts w:asciiTheme="majorHAnsi" w:hAnsiTheme="majorHAnsi"/>
        </w:rPr>
        <w:t>, or similar formats</w:t>
      </w:r>
      <w:r w:rsidR="001A5476" w:rsidRPr="001A5476">
        <w:rPr>
          <w:rFonts w:asciiTheme="majorHAnsi" w:hAnsiTheme="majorHAnsi"/>
        </w:rPr>
        <w:t>.</w:t>
      </w:r>
    </w:p>
    <w:p w:rsidR="009061BE" w:rsidRDefault="009061BE" w:rsidP="00AE6DA4">
      <w:pPr>
        <w:spacing w:after="0"/>
        <w:rPr>
          <w:rFonts w:asciiTheme="majorHAnsi" w:hAnsiTheme="majorHAnsi"/>
        </w:rPr>
      </w:pPr>
    </w:p>
    <w:p w:rsidR="009061BE" w:rsidRPr="001A5476" w:rsidRDefault="009061BE" w:rsidP="00AE6DA4">
      <w:pPr>
        <w:spacing w:after="0"/>
        <w:rPr>
          <w:rFonts w:asciiTheme="majorHAnsi" w:hAnsiTheme="majorHAnsi"/>
        </w:rPr>
      </w:pPr>
      <w:r>
        <w:rPr>
          <w:rFonts w:asciiTheme="majorHAnsi" w:hAnsiTheme="majorHAnsi"/>
        </w:rPr>
        <w:t xml:space="preserve">Direct all questions about this data call to Brian Ryder </w:t>
      </w:r>
      <w:r w:rsidR="00086C84">
        <w:rPr>
          <w:rFonts w:asciiTheme="majorHAnsi" w:hAnsiTheme="majorHAnsi"/>
        </w:rPr>
        <w:t xml:space="preserve">by </w:t>
      </w:r>
      <w:r>
        <w:rPr>
          <w:rFonts w:asciiTheme="majorHAnsi" w:hAnsiTheme="majorHAnsi"/>
        </w:rPr>
        <w:t>email at the above email address</w:t>
      </w:r>
      <w:r w:rsidR="00431A1A">
        <w:rPr>
          <w:rFonts w:asciiTheme="majorHAnsi" w:hAnsiTheme="majorHAnsi"/>
        </w:rPr>
        <w:t>,</w:t>
      </w:r>
      <w:r>
        <w:rPr>
          <w:rFonts w:asciiTheme="majorHAnsi" w:hAnsiTheme="majorHAnsi"/>
        </w:rPr>
        <w:t xml:space="preserve"> or by </w:t>
      </w:r>
      <w:r w:rsidR="00086C84">
        <w:rPr>
          <w:rFonts w:asciiTheme="majorHAnsi" w:hAnsiTheme="majorHAnsi"/>
        </w:rPr>
        <w:t>tele</w:t>
      </w:r>
      <w:r>
        <w:rPr>
          <w:rFonts w:asciiTheme="majorHAnsi" w:hAnsiTheme="majorHAnsi"/>
        </w:rPr>
        <w:t>phone at 512</w:t>
      </w:r>
      <w:r w:rsidR="0092564D">
        <w:rPr>
          <w:rFonts w:asciiTheme="majorHAnsi" w:hAnsiTheme="majorHAnsi"/>
        </w:rPr>
        <w:t>-</w:t>
      </w:r>
      <w:r>
        <w:rPr>
          <w:rFonts w:asciiTheme="majorHAnsi" w:hAnsiTheme="majorHAnsi"/>
        </w:rPr>
        <w:t>322-3577.</w:t>
      </w:r>
    </w:p>
    <w:sectPr w:rsidR="009061BE" w:rsidRPr="001A5476" w:rsidSect="00102B7C">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C5B" w:rsidRDefault="00F42C5B" w:rsidP="00AE6DA4">
      <w:pPr>
        <w:spacing w:after="0" w:line="240" w:lineRule="auto"/>
      </w:pPr>
      <w:r>
        <w:separator/>
      </w:r>
    </w:p>
  </w:endnote>
  <w:endnote w:type="continuationSeparator" w:id="0">
    <w:p w:rsidR="00F42C5B" w:rsidRDefault="00F42C5B" w:rsidP="00AE6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1990"/>
      <w:docPartObj>
        <w:docPartGallery w:val="Page Numbers (Bottom of Page)"/>
        <w:docPartUnique/>
      </w:docPartObj>
    </w:sdtPr>
    <w:sdtEndPr>
      <w:rPr>
        <w:rFonts w:asciiTheme="majorHAnsi" w:hAnsiTheme="majorHAnsi"/>
        <w:sz w:val="20"/>
        <w:szCs w:val="20"/>
      </w:rPr>
    </w:sdtEndPr>
    <w:sdtContent>
      <w:sdt>
        <w:sdtPr>
          <w:id w:val="565050477"/>
          <w:docPartObj>
            <w:docPartGallery w:val="Page Numbers (Top of Page)"/>
            <w:docPartUnique/>
          </w:docPartObj>
        </w:sdtPr>
        <w:sdtEndPr>
          <w:rPr>
            <w:rFonts w:asciiTheme="majorHAnsi" w:hAnsiTheme="majorHAnsi"/>
            <w:sz w:val="20"/>
            <w:szCs w:val="20"/>
          </w:rPr>
        </w:sdtEndPr>
        <w:sdtContent>
          <w:p w:rsidR="00771D39" w:rsidRPr="00102B7C" w:rsidRDefault="00771D39">
            <w:pPr>
              <w:pStyle w:val="Footer"/>
              <w:jc w:val="center"/>
              <w:rPr>
                <w:rFonts w:asciiTheme="majorHAnsi" w:hAnsiTheme="majorHAnsi"/>
                <w:sz w:val="20"/>
                <w:szCs w:val="20"/>
              </w:rPr>
            </w:pPr>
            <w:r w:rsidRPr="00C24056">
              <w:rPr>
                <w:rFonts w:asciiTheme="majorHAnsi" w:hAnsiTheme="majorHAnsi"/>
                <w:sz w:val="20"/>
                <w:szCs w:val="20"/>
              </w:rPr>
              <w:t xml:space="preserve">Page </w:t>
            </w:r>
            <w:r w:rsidR="007E4AD8" w:rsidRPr="004A7E29">
              <w:rPr>
                <w:rFonts w:asciiTheme="majorHAnsi" w:hAnsiTheme="majorHAnsi"/>
                <w:sz w:val="20"/>
                <w:szCs w:val="20"/>
              </w:rPr>
              <w:fldChar w:fldCharType="begin"/>
            </w:r>
            <w:r w:rsidRPr="004A7E29">
              <w:rPr>
                <w:rFonts w:asciiTheme="majorHAnsi" w:hAnsiTheme="majorHAnsi"/>
                <w:sz w:val="20"/>
                <w:szCs w:val="20"/>
              </w:rPr>
              <w:instrText xml:space="preserve"> PAGE </w:instrText>
            </w:r>
            <w:r w:rsidR="007E4AD8" w:rsidRPr="004A7E29">
              <w:rPr>
                <w:rFonts w:asciiTheme="majorHAnsi" w:hAnsiTheme="majorHAnsi"/>
                <w:sz w:val="20"/>
                <w:szCs w:val="20"/>
              </w:rPr>
              <w:fldChar w:fldCharType="separate"/>
            </w:r>
            <w:r w:rsidR="00417823">
              <w:rPr>
                <w:rFonts w:asciiTheme="majorHAnsi" w:hAnsiTheme="majorHAnsi"/>
                <w:noProof/>
                <w:sz w:val="20"/>
                <w:szCs w:val="20"/>
              </w:rPr>
              <w:t>6</w:t>
            </w:r>
            <w:r w:rsidR="007E4AD8" w:rsidRPr="004A7E29">
              <w:rPr>
                <w:rFonts w:asciiTheme="majorHAnsi" w:hAnsiTheme="majorHAnsi"/>
                <w:sz w:val="20"/>
                <w:szCs w:val="20"/>
              </w:rPr>
              <w:fldChar w:fldCharType="end"/>
            </w:r>
            <w:r w:rsidRPr="00C24056">
              <w:rPr>
                <w:rFonts w:asciiTheme="majorHAnsi" w:hAnsiTheme="majorHAnsi"/>
                <w:sz w:val="20"/>
                <w:szCs w:val="20"/>
              </w:rPr>
              <w:t xml:space="preserve"> of </w:t>
            </w:r>
            <w:r w:rsidR="007E4AD8" w:rsidRPr="004A7E29">
              <w:rPr>
                <w:rFonts w:asciiTheme="majorHAnsi" w:hAnsiTheme="majorHAnsi"/>
                <w:sz w:val="20"/>
                <w:szCs w:val="20"/>
              </w:rPr>
              <w:fldChar w:fldCharType="begin"/>
            </w:r>
            <w:r w:rsidRPr="004A7E29">
              <w:rPr>
                <w:rFonts w:asciiTheme="majorHAnsi" w:hAnsiTheme="majorHAnsi"/>
                <w:sz w:val="20"/>
                <w:szCs w:val="20"/>
              </w:rPr>
              <w:instrText xml:space="preserve"> NUMPAGES  </w:instrText>
            </w:r>
            <w:r w:rsidR="007E4AD8" w:rsidRPr="004A7E29">
              <w:rPr>
                <w:rFonts w:asciiTheme="majorHAnsi" w:hAnsiTheme="majorHAnsi"/>
                <w:sz w:val="20"/>
                <w:szCs w:val="20"/>
              </w:rPr>
              <w:fldChar w:fldCharType="separate"/>
            </w:r>
            <w:r w:rsidR="00417823">
              <w:rPr>
                <w:rFonts w:asciiTheme="majorHAnsi" w:hAnsiTheme="majorHAnsi"/>
                <w:noProof/>
                <w:sz w:val="20"/>
                <w:szCs w:val="20"/>
              </w:rPr>
              <w:t>6</w:t>
            </w:r>
            <w:r w:rsidR="007E4AD8" w:rsidRPr="004A7E29">
              <w:rPr>
                <w:rFonts w:asciiTheme="majorHAnsi" w:hAnsiTheme="majorHAnsi"/>
                <w:sz w:val="20"/>
                <w:szCs w:val="20"/>
              </w:rPr>
              <w:fldChar w:fldCharType="end"/>
            </w:r>
          </w:p>
        </w:sdtContent>
      </w:sdt>
    </w:sdtContent>
  </w:sdt>
  <w:p w:rsidR="00771D39" w:rsidRDefault="00771D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C5B" w:rsidRDefault="00F42C5B" w:rsidP="00AE6DA4">
      <w:pPr>
        <w:spacing w:after="0" w:line="240" w:lineRule="auto"/>
      </w:pPr>
      <w:r>
        <w:separator/>
      </w:r>
    </w:p>
  </w:footnote>
  <w:footnote w:type="continuationSeparator" w:id="0">
    <w:p w:rsidR="00F42C5B" w:rsidRDefault="00F42C5B" w:rsidP="00AE6D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D39" w:rsidRDefault="00771D39" w:rsidP="00AE6DA4">
    <w:pPr>
      <w:pStyle w:val="Header"/>
      <w:jc w:val="center"/>
      <w:rPr>
        <w:rFonts w:asciiTheme="majorHAnsi" w:hAnsiTheme="majorHAnsi"/>
        <w:b/>
        <w:sz w:val="24"/>
        <w:szCs w:val="28"/>
      </w:rPr>
    </w:pPr>
    <w:r>
      <w:rPr>
        <w:rFonts w:asciiTheme="majorHAnsi" w:hAnsiTheme="majorHAnsi"/>
        <w:b/>
        <w:sz w:val="24"/>
        <w:szCs w:val="28"/>
      </w:rPr>
      <w:t>Texas Department of Insurance</w:t>
    </w:r>
  </w:p>
  <w:p w:rsidR="00771D39" w:rsidRDefault="00771D39" w:rsidP="00AE6DA4">
    <w:pPr>
      <w:pStyle w:val="Header"/>
      <w:jc w:val="center"/>
      <w:rPr>
        <w:rFonts w:asciiTheme="majorHAnsi" w:hAnsiTheme="majorHAnsi"/>
        <w:b/>
        <w:sz w:val="24"/>
        <w:szCs w:val="28"/>
      </w:rPr>
    </w:pPr>
    <w:r>
      <w:rPr>
        <w:rFonts w:asciiTheme="majorHAnsi" w:hAnsiTheme="majorHAnsi"/>
        <w:b/>
        <w:sz w:val="24"/>
        <w:szCs w:val="28"/>
      </w:rPr>
      <w:t>Residential Property Windstorm Exclusion Credits Data Call</w:t>
    </w:r>
  </w:p>
  <w:p w:rsidR="00771D39" w:rsidRPr="006A10B4" w:rsidRDefault="00771D39" w:rsidP="00AE6DA4">
    <w:pPr>
      <w:pStyle w:val="Header"/>
      <w:jc w:val="center"/>
      <w:rPr>
        <w:rFonts w:asciiTheme="majorHAnsi" w:hAnsiTheme="majorHAnsi"/>
        <w:sz w:val="24"/>
        <w:szCs w:val="28"/>
      </w:rPr>
    </w:pPr>
    <w:r w:rsidRPr="006A10B4">
      <w:rPr>
        <w:rFonts w:asciiTheme="majorHAnsi" w:hAnsiTheme="majorHAnsi"/>
        <w:sz w:val="24"/>
        <w:szCs w:val="28"/>
      </w:rPr>
      <w:t>R</w:t>
    </w:r>
    <w:r>
      <w:rPr>
        <w:rFonts w:asciiTheme="majorHAnsi" w:hAnsiTheme="majorHAnsi"/>
        <w:sz w:val="24"/>
        <w:szCs w:val="28"/>
      </w:rPr>
      <w:t>eporting</w:t>
    </w:r>
    <w:r w:rsidRPr="006A10B4">
      <w:rPr>
        <w:rFonts w:asciiTheme="majorHAnsi" w:hAnsiTheme="majorHAnsi"/>
        <w:sz w:val="24"/>
        <w:szCs w:val="28"/>
      </w:rPr>
      <w:t xml:space="preserve"> I</w:t>
    </w:r>
    <w:r>
      <w:rPr>
        <w:rFonts w:asciiTheme="majorHAnsi" w:hAnsiTheme="majorHAnsi"/>
        <w:sz w:val="24"/>
        <w:szCs w:val="28"/>
      </w:rPr>
      <w:t>nstructions</w:t>
    </w:r>
  </w:p>
  <w:p w:rsidR="00771D39" w:rsidRDefault="00771D39" w:rsidP="00AE6DA4">
    <w:pPr>
      <w:pStyle w:val="Header"/>
      <w:jc w:val="center"/>
      <w:rPr>
        <w:rFonts w:asciiTheme="majorHAnsi" w:hAnsiTheme="majorHAnsi"/>
        <w:b/>
        <w:sz w:val="24"/>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92309"/>
    <w:multiLevelType w:val="hybridMultilevel"/>
    <w:tmpl w:val="8702E6DA"/>
    <w:lvl w:ilvl="0" w:tplc="C7988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B23B91"/>
    <w:multiLevelType w:val="hybridMultilevel"/>
    <w:tmpl w:val="EDC42462"/>
    <w:lvl w:ilvl="0" w:tplc="FDEE1EE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18556F"/>
    <w:multiLevelType w:val="hybridMultilevel"/>
    <w:tmpl w:val="B464FB22"/>
    <w:lvl w:ilvl="0" w:tplc="1326D78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0A07381"/>
    <w:multiLevelType w:val="hybridMultilevel"/>
    <w:tmpl w:val="DCFE9A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4002D3"/>
    <w:multiLevelType w:val="hybridMultilevel"/>
    <w:tmpl w:val="ACD03FC4"/>
    <w:lvl w:ilvl="0" w:tplc="241232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75F40"/>
    <w:multiLevelType w:val="hybridMultilevel"/>
    <w:tmpl w:val="24DED294"/>
    <w:lvl w:ilvl="0" w:tplc="738AEF3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A95736F"/>
    <w:multiLevelType w:val="hybridMultilevel"/>
    <w:tmpl w:val="2EDE4EAE"/>
    <w:lvl w:ilvl="0" w:tplc="ECA2B9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0"/>
  </w:num>
  <w:num w:numId="4">
    <w:abstractNumId w:val="2"/>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AE6DA4"/>
    <w:rsid w:val="00013F23"/>
    <w:rsid w:val="000663C1"/>
    <w:rsid w:val="00075E62"/>
    <w:rsid w:val="00086565"/>
    <w:rsid w:val="00086C84"/>
    <w:rsid w:val="000B6EAF"/>
    <w:rsid w:val="000C0B99"/>
    <w:rsid w:val="001017C0"/>
    <w:rsid w:val="00102B7C"/>
    <w:rsid w:val="00103AF3"/>
    <w:rsid w:val="0012179C"/>
    <w:rsid w:val="00137AA3"/>
    <w:rsid w:val="00145DFE"/>
    <w:rsid w:val="00156CD9"/>
    <w:rsid w:val="00176F45"/>
    <w:rsid w:val="00177691"/>
    <w:rsid w:val="001A5476"/>
    <w:rsid w:val="001A5E52"/>
    <w:rsid w:val="001C43A1"/>
    <w:rsid w:val="001C7971"/>
    <w:rsid w:val="001D045E"/>
    <w:rsid w:val="001D1514"/>
    <w:rsid w:val="001E7792"/>
    <w:rsid w:val="0020392D"/>
    <w:rsid w:val="00224F67"/>
    <w:rsid w:val="00270D02"/>
    <w:rsid w:val="002714EB"/>
    <w:rsid w:val="00290858"/>
    <w:rsid w:val="00293D37"/>
    <w:rsid w:val="00295ADD"/>
    <w:rsid w:val="002B21B7"/>
    <w:rsid w:val="002F6C30"/>
    <w:rsid w:val="00314894"/>
    <w:rsid w:val="003355C3"/>
    <w:rsid w:val="003604D4"/>
    <w:rsid w:val="00364716"/>
    <w:rsid w:val="003657D8"/>
    <w:rsid w:val="0037448B"/>
    <w:rsid w:val="00380FE9"/>
    <w:rsid w:val="003870E5"/>
    <w:rsid w:val="00391086"/>
    <w:rsid w:val="00393E1C"/>
    <w:rsid w:val="003A7C60"/>
    <w:rsid w:val="003C3812"/>
    <w:rsid w:val="003C7DF5"/>
    <w:rsid w:val="003E1FC0"/>
    <w:rsid w:val="003E485F"/>
    <w:rsid w:val="00417823"/>
    <w:rsid w:val="004269F5"/>
    <w:rsid w:val="00431A1A"/>
    <w:rsid w:val="00442824"/>
    <w:rsid w:val="00445A9A"/>
    <w:rsid w:val="00451B4A"/>
    <w:rsid w:val="00451BBB"/>
    <w:rsid w:val="00466688"/>
    <w:rsid w:val="00492D66"/>
    <w:rsid w:val="00493AB3"/>
    <w:rsid w:val="004A24EC"/>
    <w:rsid w:val="004A7E29"/>
    <w:rsid w:val="004C7F05"/>
    <w:rsid w:val="00500A9B"/>
    <w:rsid w:val="005167DC"/>
    <w:rsid w:val="00522A0F"/>
    <w:rsid w:val="00550488"/>
    <w:rsid w:val="005964ED"/>
    <w:rsid w:val="005A4BD6"/>
    <w:rsid w:val="005B0DA9"/>
    <w:rsid w:val="005C2C41"/>
    <w:rsid w:val="005C3C04"/>
    <w:rsid w:val="006201BA"/>
    <w:rsid w:val="00625A55"/>
    <w:rsid w:val="00626A3B"/>
    <w:rsid w:val="00627E83"/>
    <w:rsid w:val="00640638"/>
    <w:rsid w:val="0064282B"/>
    <w:rsid w:val="00655411"/>
    <w:rsid w:val="00677A45"/>
    <w:rsid w:val="0069151A"/>
    <w:rsid w:val="00696958"/>
    <w:rsid w:val="006A10B4"/>
    <w:rsid w:val="006A603E"/>
    <w:rsid w:val="006B77E6"/>
    <w:rsid w:val="006D07E3"/>
    <w:rsid w:val="00711557"/>
    <w:rsid w:val="00711BC7"/>
    <w:rsid w:val="007248D8"/>
    <w:rsid w:val="0073549B"/>
    <w:rsid w:val="007535BA"/>
    <w:rsid w:val="00753A1F"/>
    <w:rsid w:val="00760D2D"/>
    <w:rsid w:val="00771D39"/>
    <w:rsid w:val="0078360F"/>
    <w:rsid w:val="00784284"/>
    <w:rsid w:val="00795587"/>
    <w:rsid w:val="007A3F7E"/>
    <w:rsid w:val="007E1512"/>
    <w:rsid w:val="007E4AD8"/>
    <w:rsid w:val="007E52B7"/>
    <w:rsid w:val="008142EB"/>
    <w:rsid w:val="00821838"/>
    <w:rsid w:val="008323DC"/>
    <w:rsid w:val="0084085F"/>
    <w:rsid w:val="008627FD"/>
    <w:rsid w:val="00881DF7"/>
    <w:rsid w:val="00887502"/>
    <w:rsid w:val="008876FC"/>
    <w:rsid w:val="008A2004"/>
    <w:rsid w:val="008D3D5D"/>
    <w:rsid w:val="008E25F2"/>
    <w:rsid w:val="009039E3"/>
    <w:rsid w:val="00905A1E"/>
    <w:rsid w:val="009061BE"/>
    <w:rsid w:val="0092525C"/>
    <w:rsid w:val="0092564D"/>
    <w:rsid w:val="009664A1"/>
    <w:rsid w:val="00971E04"/>
    <w:rsid w:val="009953A0"/>
    <w:rsid w:val="009956F7"/>
    <w:rsid w:val="009A6C30"/>
    <w:rsid w:val="009D039B"/>
    <w:rsid w:val="009F568D"/>
    <w:rsid w:val="00A0134B"/>
    <w:rsid w:val="00A03C1A"/>
    <w:rsid w:val="00A15945"/>
    <w:rsid w:val="00A51F16"/>
    <w:rsid w:val="00A70169"/>
    <w:rsid w:val="00A73AED"/>
    <w:rsid w:val="00AA2E7D"/>
    <w:rsid w:val="00AB4D6A"/>
    <w:rsid w:val="00AE6DA4"/>
    <w:rsid w:val="00AF3107"/>
    <w:rsid w:val="00B0408F"/>
    <w:rsid w:val="00B15581"/>
    <w:rsid w:val="00B174E7"/>
    <w:rsid w:val="00B4066D"/>
    <w:rsid w:val="00B5104D"/>
    <w:rsid w:val="00B5438C"/>
    <w:rsid w:val="00B561EC"/>
    <w:rsid w:val="00B5639C"/>
    <w:rsid w:val="00B92D17"/>
    <w:rsid w:val="00BB1A76"/>
    <w:rsid w:val="00BD62EF"/>
    <w:rsid w:val="00C24056"/>
    <w:rsid w:val="00C24499"/>
    <w:rsid w:val="00C250FC"/>
    <w:rsid w:val="00C45B12"/>
    <w:rsid w:val="00C53604"/>
    <w:rsid w:val="00C53E31"/>
    <w:rsid w:val="00C54783"/>
    <w:rsid w:val="00C57EEA"/>
    <w:rsid w:val="00C9641F"/>
    <w:rsid w:val="00CB3CD2"/>
    <w:rsid w:val="00CD1066"/>
    <w:rsid w:val="00CE3956"/>
    <w:rsid w:val="00D133AC"/>
    <w:rsid w:val="00D472AF"/>
    <w:rsid w:val="00D53305"/>
    <w:rsid w:val="00D85840"/>
    <w:rsid w:val="00D90ABA"/>
    <w:rsid w:val="00DA126B"/>
    <w:rsid w:val="00DB725C"/>
    <w:rsid w:val="00DC5C08"/>
    <w:rsid w:val="00DD4A72"/>
    <w:rsid w:val="00DD6EB0"/>
    <w:rsid w:val="00E20C0B"/>
    <w:rsid w:val="00E54A02"/>
    <w:rsid w:val="00E70564"/>
    <w:rsid w:val="00E91335"/>
    <w:rsid w:val="00E963C9"/>
    <w:rsid w:val="00EA2214"/>
    <w:rsid w:val="00EA3678"/>
    <w:rsid w:val="00EB6FEC"/>
    <w:rsid w:val="00ED301E"/>
    <w:rsid w:val="00ED6EE7"/>
    <w:rsid w:val="00EF1908"/>
    <w:rsid w:val="00F13AD4"/>
    <w:rsid w:val="00F141BE"/>
    <w:rsid w:val="00F16839"/>
    <w:rsid w:val="00F42C5B"/>
    <w:rsid w:val="00F45EB7"/>
    <w:rsid w:val="00F7747A"/>
    <w:rsid w:val="00F903A9"/>
    <w:rsid w:val="00F915E4"/>
    <w:rsid w:val="00F9257A"/>
    <w:rsid w:val="00F93DE3"/>
    <w:rsid w:val="00F97546"/>
    <w:rsid w:val="00FA54B2"/>
    <w:rsid w:val="00FA7826"/>
    <w:rsid w:val="00FD0A21"/>
    <w:rsid w:val="00FD1B08"/>
    <w:rsid w:val="00FD3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6" type="connector" idref="#_x0000_s1031"/>
        <o:r id="V:Rule7" type="connector" idref="#_x0000_s1032"/>
        <o:r id="V:Rule8" type="connector" idref="#_x0000_s1033"/>
        <o:r id="V:Rule9" type="connector" idref="#_x0000_s1035"/>
        <o:r id="V:Rule1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0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DA4"/>
  </w:style>
  <w:style w:type="paragraph" w:styleId="Footer">
    <w:name w:val="footer"/>
    <w:basedOn w:val="Normal"/>
    <w:link w:val="FooterChar"/>
    <w:uiPriority w:val="99"/>
    <w:unhideWhenUsed/>
    <w:rsid w:val="00AE6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DA4"/>
  </w:style>
  <w:style w:type="paragraph" w:styleId="ListParagraph">
    <w:name w:val="List Paragraph"/>
    <w:basedOn w:val="Normal"/>
    <w:uiPriority w:val="34"/>
    <w:qFormat/>
    <w:rsid w:val="00466688"/>
    <w:pPr>
      <w:ind w:left="720"/>
      <w:contextualSpacing/>
    </w:pPr>
    <w:rPr>
      <w:rFonts w:ascii="Calibri" w:eastAsia="Calibri" w:hAnsi="Calibri" w:cs="Times New Roman"/>
    </w:rPr>
  </w:style>
  <w:style w:type="character" w:styleId="Hyperlink">
    <w:name w:val="Hyperlink"/>
    <w:basedOn w:val="DefaultParagraphFont"/>
    <w:uiPriority w:val="99"/>
    <w:unhideWhenUsed/>
    <w:rsid w:val="009061BE"/>
    <w:rPr>
      <w:color w:val="0000FF" w:themeColor="hyperlink"/>
      <w:u w:val="single"/>
    </w:rPr>
  </w:style>
  <w:style w:type="paragraph" w:styleId="NormalWeb">
    <w:name w:val="Normal (Web)"/>
    <w:basedOn w:val="Normal"/>
    <w:uiPriority w:val="99"/>
    <w:rsid w:val="00A03C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3C1A"/>
    <w:rPr>
      <w:b/>
      <w:bCs/>
    </w:rPr>
  </w:style>
  <w:style w:type="paragraph" w:styleId="BalloonText">
    <w:name w:val="Balloon Text"/>
    <w:basedOn w:val="Normal"/>
    <w:link w:val="BalloonTextChar"/>
    <w:uiPriority w:val="99"/>
    <w:semiHidden/>
    <w:unhideWhenUsed/>
    <w:rsid w:val="00156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CD9"/>
    <w:rPr>
      <w:rFonts w:ascii="Tahoma" w:hAnsi="Tahoma" w:cs="Tahoma"/>
      <w:sz w:val="16"/>
      <w:szCs w:val="16"/>
    </w:rPr>
  </w:style>
  <w:style w:type="character" w:styleId="PlaceholderText">
    <w:name w:val="Placeholder Text"/>
    <w:basedOn w:val="DefaultParagraphFont"/>
    <w:uiPriority w:val="99"/>
    <w:semiHidden/>
    <w:rsid w:val="00B4066D"/>
    <w:rPr>
      <w:color w:val="808080"/>
    </w:rPr>
  </w:style>
  <w:style w:type="character" w:styleId="CommentReference">
    <w:name w:val="annotation reference"/>
    <w:basedOn w:val="DefaultParagraphFont"/>
    <w:uiPriority w:val="99"/>
    <w:semiHidden/>
    <w:unhideWhenUsed/>
    <w:rsid w:val="00FA54B2"/>
    <w:rPr>
      <w:sz w:val="16"/>
      <w:szCs w:val="16"/>
    </w:rPr>
  </w:style>
  <w:style w:type="paragraph" w:styleId="CommentText">
    <w:name w:val="annotation text"/>
    <w:basedOn w:val="Normal"/>
    <w:link w:val="CommentTextChar"/>
    <w:uiPriority w:val="99"/>
    <w:semiHidden/>
    <w:unhideWhenUsed/>
    <w:rsid w:val="00FA54B2"/>
    <w:pPr>
      <w:spacing w:line="240" w:lineRule="auto"/>
    </w:pPr>
    <w:rPr>
      <w:sz w:val="20"/>
      <w:szCs w:val="20"/>
    </w:rPr>
  </w:style>
  <w:style w:type="character" w:customStyle="1" w:styleId="CommentTextChar">
    <w:name w:val="Comment Text Char"/>
    <w:basedOn w:val="DefaultParagraphFont"/>
    <w:link w:val="CommentText"/>
    <w:uiPriority w:val="99"/>
    <w:semiHidden/>
    <w:rsid w:val="00FA54B2"/>
    <w:rPr>
      <w:sz w:val="20"/>
      <w:szCs w:val="20"/>
    </w:rPr>
  </w:style>
  <w:style w:type="paragraph" w:styleId="CommentSubject">
    <w:name w:val="annotation subject"/>
    <w:basedOn w:val="CommentText"/>
    <w:next w:val="CommentText"/>
    <w:link w:val="CommentSubjectChar"/>
    <w:uiPriority w:val="99"/>
    <w:semiHidden/>
    <w:unhideWhenUsed/>
    <w:rsid w:val="00FA54B2"/>
    <w:rPr>
      <w:b/>
      <w:bCs/>
    </w:rPr>
  </w:style>
  <w:style w:type="character" w:customStyle="1" w:styleId="CommentSubjectChar">
    <w:name w:val="Comment Subject Char"/>
    <w:basedOn w:val="CommentTextChar"/>
    <w:link w:val="CommentSubject"/>
    <w:uiPriority w:val="99"/>
    <w:semiHidden/>
    <w:rsid w:val="00FA54B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834A0-325B-4FEE-8723-C8B224B8E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2402</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2013-12-03T14:17:00Z</dcterms:created>
  <dcterms:modified xsi:type="dcterms:W3CDTF">2013-12-03T14:17:00Z</dcterms:modified>
</cp:coreProperties>
</file>